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3GPP TSG RAN WG1 Ad-Hoc Meeting 1901</w:t>
      </w:r>
      <w:r>
        <w:rPr>
          <w:rFonts w:ascii="Arial" w:hAnsi="Arial" w:cs="Arial"/>
          <w:b/>
          <w:sz w:val="22"/>
          <w:szCs w:val="22"/>
        </w:rPr>
        <w:tab/>
      </w:r>
      <w:r>
        <w:rPr>
          <w:rFonts w:ascii="Arial" w:hAnsi="Arial" w:cs="Arial"/>
          <w:b/>
          <w:sz w:val="22"/>
          <w:szCs w:val="22"/>
        </w:rPr>
        <w:t>R1-190008</w:t>
      </w:r>
      <w:r>
        <w:rPr>
          <w:rFonts w:ascii="Arial" w:hAnsi="Arial" w:cs="Arial"/>
          <w:b/>
          <w:sz w:val="22"/>
          <w:szCs w:val="22"/>
          <w:lang w:eastAsia="zh-CN"/>
        </w:rPr>
        <w:t>3</w:t>
      </w:r>
    </w:p>
    <w:p>
      <w:pPr>
        <w:tabs>
          <w:tab w:val="right" w:pos="9630"/>
        </w:tabs>
        <w:spacing w:after="0"/>
        <w:rPr>
          <w:rFonts w:ascii="Arial" w:hAnsi="Arial" w:cs="Arial"/>
          <w:b/>
          <w:sz w:val="22"/>
          <w:szCs w:val="22"/>
        </w:rPr>
      </w:pPr>
      <w:r>
        <w:rPr>
          <w:rFonts w:ascii="Arial" w:hAnsi="Arial" w:cs="Arial"/>
          <w:b/>
          <w:sz w:val="22"/>
          <w:szCs w:val="22"/>
        </w:rPr>
        <w:t>Taipei, January 21</w:t>
      </w:r>
      <w:r>
        <w:rPr>
          <w:rFonts w:ascii="Arial" w:hAnsi="Arial" w:cs="Arial"/>
          <w:b/>
          <w:sz w:val="22"/>
          <w:szCs w:val="22"/>
          <w:vertAlign w:val="superscript"/>
        </w:rPr>
        <w:t>st</w:t>
      </w:r>
      <w:r>
        <w:rPr>
          <w:rFonts w:ascii="Arial" w:hAnsi="Arial" w:cs="Arial"/>
          <w:b/>
          <w:sz w:val="22"/>
          <w:szCs w:val="22"/>
        </w:rPr>
        <w:t xml:space="preserve"> – 25</w:t>
      </w:r>
      <w:r>
        <w:rPr>
          <w:rFonts w:ascii="Arial" w:hAnsi="Arial" w:cs="Arial"/>
          <w:b/>
          <w:sz w:val="22"/>
          <w:szCs w:val="22"/>
          <w:vertAlign w:val="superscript"/>
        </w:rPr>
        <w:t>th</w:t>
      </w:r>
      <w:r>
        <w:rPr>
          <w:rFonts w:ascii="Arial" w:hAnsi="Arial" w:cs="Arial"/>
          <w:b/>
          <w:sz w:val="22"/>
          <w:szCs w:val="22"/>
        </w:rPr>
        <w:t>, 2019</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lang w:eastAsia="zh-CN"/>
        </w:rPr>
        <w:t>Discussion on single Tx switched uplink solution for EN-DC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7.2.13.</w:t>
      </w:r>
      <w:r>
        <w:rPr>
          <w:rFonts w:ascii="Arial" w:hAnsi="Arial"/>
          <w:b/>
          <w:lang w:eastAsia="zh-CN"/>
        </w:rPr>
        <w:t>3</w:t>
      </w:r>
    </w:p>
    <w:p>
      <w:pPr>
        <w:spacing w:after="240"/>
        <w:ind w:left="1990" w:hanging="1990"/>
        <w:rPr>
          <w:rFonts w:ascii="Arial" w:hAnsi="Arial"/>
          <w:b/>
        </w:rPr>
      </w:pPr>
      <w:r>
        <w:rPr>
          <w:rFonts w:ascii="Arial" w:hAnsi="Arial"/>
          <w:b/>
        </w:rPr>
        <w:t>Document for:</w:t>
      </w:r>
      <w:r>
        <w:rPr>
          <w:rFonts w:ascii="Arial" w:hAnsi="Arial"/>
          <w:b/>
        </w:rPr>
        <w:tab/>
      </w:r>
      <w:r>
        <w:rPr>
          <w:rFonts w:ascii="Arial" w:hAnsi="Arial"/>
          <w:b/>
        </w:rPr>
        <w:t>Discussion/Decision</w:t>
      </w:r>
    </w:p>
    <w:p>
      <w:pPr>
        <w:pStyle w:val="2"/>
        <w:textAlignment w:val="auto"/>
      </w:pPr>
      <w:r>
        <w:t>Introduction</w:t>
      </w:r>
      <w:bookmarkEnd w:id="0"/>
    </w:p>
    <w:p>
      <w:pPr>
        <w:rPr>
          <w:lang w:eastAsia="zh-CN"/>
        </w:rPr>
      </w:pPr>
      <w:r>
        <w:rPr>
          <w:rFonts w:hint="eastAsia"/>
          <w:lang w:eastAsia="zh-CN"/>
        </w:rPr>
        <w:t>I</w:t>
      </w:r>
      <w:r>
        <w:rPr>
          <w:lang w:eastAsia="zh-CN"/>
        </w:rPr>
        <w:t xml:space="preserve">n this contribution, we present our observations and proposals on single Tx switched uplink. </w:t>
      </w:r>
      <w:r>
        <w:rPr>
          <w:rFonts w:hint="eastAsia"/>
          <w:lang w:eastAsia="zh-CN"/>
        </w:rPr>
        <w:t>S</w:t>
      </w:r>
      <w:r>
        <w:rPr>
          <w:lang w:eastAsia="zh-CN"/>
        </w:rPr>
        <w:t xml:space="preserve">ingle Tx switched uplink was firstly discussed in the LTE-NR co-existence section in Rel-15. For better understanding, we </w:t>
      </w:r>
      <w:r>
        <w:rPr>
          <w:rFonts w:hint="eastAsia"/>
          <w:lang w:eastAsia="zh-CN"/>
        </w:rPr>
        <w:t xml:space="preserve">also </w:t>
      </w:r>
      <w:r>
        <w:rPr>
          <w:lang w:eastAsia="zh-CN"/>
        </w:rPr>
        <w:t xml:space="preserve">prepare some background information on this issue. </w:t>
      </w:r>
    </w:p>
    <w:p>
      <w:pPr>
        <w:rPr>
          <w:lang w:val="en-GB" w:eastAsia="zh-CN"/>
        </w:rPr>
      </w:pPr>
      <w:r>
        <w:rPr>
          <w:lang w:val="en-GB" w:eastAsia="zh-CN"/>
        </w:rPr>
        <w:t xml:space="preserve">In RAN1#90, RAN1 finalized two cases for UE to fix the scheduling/HARQ timing of LTE </w:t>
      </w:r>
      <w:r>
        <w:rPr>
          <w:b/>
          <w:color w:val="FF0000"/>
          <w:lang w:val="en-GB" w:eastAsia="zh-CN"/>
        </w:rPr>
        <w:t>FDD</w:t>
      </w:r>
      <w:r>
        <w:rPr>
          <w:lang w:val="en-GB" w:eastAsia="zh-CN"/>
        </w:rPr>
        <w:t xml:space="preserve"> carrier in EN-DC. The first case is to reuse the DL-reference UL/DL configuration defined for LTE-FDD-SCell in LTE-TDD-FDD CA with LTE-TDD-PCell to satisfy the scheduling/HARQ timing of LTE FDD carrier. The second case is to reuse the Rel-15 LTE-FDD HARQ timing, i.e., leave it as an implementation issue.</w:t>
      </w:r>
    </w:p>
    <w:tbl>
      <w:tblPr>
        <w:tblStyle w:val="56"/>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0" w:line="280" w:lineRule="atLeast"/>
              <w:rPr>
                <w:rFonts w:ascii="New York" w:hAnsi="New York"/>
              </w:rPr>
            </w:pPr>
            <w:r>
              <w:rPr>
                <w:rFonts w:ascii="New York" w:hAnsi="New York"/>
                <w:highlight w:val="green"/>
              </w:rPr>
              <w:t>Agreements</w:t>
            </w:r>
            <w:r>
              <w:rPr>
                <w:rFonts w:ascii="New York" w:hAnsi="New York"/>
              </w:rPr>
              <w:t xml:space="preserve"> (RAN1#90):</w:t>
            </w:r>
          </w:p>
          <w:p>
            <w:pPr>
              <w:numPr>
                <w:ilvl w:val="0"/>
                <w:numId w:val="9"/>
              </w:numPr>
              <w:overflowPunct/>
              <w:autoSpaceDE/>
              <w:autoSpaceDN/>
              <w:adjustRightInd/>
              <w:spacing w:before="0" w:after="0" w:line="280" w:lineRule="atLeast"/>
              <w:textAlignment w:val="auto"/>
              <w:rPr>
                <w:rFonts w:ascii="New York" w:hAnsi="New York"/>
              </w:rPr>
            </w:pPr>
            <w:r>
              <w:rPr>
                <w:rFonts w:ascii="New York" w:hAnsi="New York"/>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pPr>
              <w:numPr>
                <w:ilvl w:val="1"/>
                <w:numId w:val="9"/>
              </w:numPr>
              <w:overflowPunct/>
              <w:autoSpaceDE/>
              <w:autoSpaceDN/>
              <w:adjustRightInd/>
              <w:spacing w:before="0" w:after="0" w:line="280" w:lineRule="atLeast"/>
              <w:textAlignment w:val="auto"/>
              <w:rPr>
                <w:rFonts w:ascii="New York" w:hAnsi="New York"/>
              </w:rPr>
            </w:pPr>
            <w:r>
              <w:rPr>
                <w:rFonts w:ascii="New York" w:hAnsi="New York"/>
              </w:rPr>
              <w:t xml:space="preserve">For LTE carrier, UE can be configured with </w:t>
            </w:r>
          </w:p>
          <w:p>
            <w:pPr>
              <w:numPr>
                <w:ilvl w:val="2"/>
                <w:numId w:val="9"/>
              </w:numPr>
              <w:overflowPunct/>
              <w:autoSpaceDE/>
              <w:autoSpaceDN/>
              <w:adjustRightInd/>
              <w:spacing w:before="0" w:after="0" w:line="280" w:lineRule="atLeast"/>
              <w:textAlignment w:val="auto"/>
              <w:rPr>
                <w:rFonts w:ascii="New York" w:hAnsi="New York"/>
              </w:rPr>
            </w:pPr>
            <w:r>
              <w:rPr>
                <w:rFonts w:ascii="New York" w:hAnsi="New York"/>
              </w:rPr>
              <w:t xml:space="preserve">Case 1: DL-reference UL/DL configuration defined for LTE-FDD-SCell in LTE-TDD-FDD CA with LTE-TDD-PCell </w:t>
            </w:r>
          </w:p>
          <w:p>
            <w:pPr>
              <w:numPr>
                <w:ilvl w:val="3"/>
                <w:numId w:val="9"/>
              </w:numPr>
              <w:overflowPunct/>
              <w:autoSpaceDE/>
              <w:autoSpaceDN/>
              <w:adjustRightInd/>
              <w:spacing w:before="0" w:after="0" w:line="280" w:lineRule="atLeast"/>
              <w:textAlignment w:val="auto"/>
              <w:rPr>
                <w:rFonts w:ascii="New York" w:hAnsi="New York"/>
              </w:rPr>
            </w:pPr>
            <w:r>
              <w:rPr>
                <w:rFonts w:ascii="New York" w:hAnsi="New York"/>
              </w:rPr>
              <w:t>For scheduling/HARQ timing of LTE FDD carrier, DL-reference UL/DL configuration defined for LTE-FDD-SCell in LTE-TDD-FDD CA with LTE-TDD-PCell is applied</w:t>
            </w:r>
          </w:p>
          <w:p>
            <w:pPr>
              <w:numPr>
                <w:ilvl w:val="3"/>
                <w:numId w:val="9"/>
              </w:numPr>
              <w:overflowPunct/>
              <w:autoSpaceDE/>
              <w:autoSpaceDN/>
              <w:adjustRightInd/>
              <w:spacing w:before="0" w:after="0" w:line="280" w:lineRule="atLeast"/>
              <w:textAlignment w:val="auto"/>
              <w:rPr>
                <w:rFonts w:ascii="New York" w:hAnsi="New York"/>
              </w:rPr>
            </w:pPr>
            <w:r>
              <w:rPr>
                <w:rFonts w:ascii="New York" w:hAnsi="New York"/>
              </w:rPr>
              <w:t>UE is allowed to transmit NR UL signals at least in the subframe(s) where LTE UL transmission is not allowed according to the DL-reference UL/DL configuration</w:t>
            </w:r>
          </w:p>
          <w:p>
            <w:pPr>
              <w:numPr>
                <w:ilvl w:val="3"/>
                <w:numId w:val="9"/>
              </w:numPr>
              <w:overflowPunct/>
              <w:autoSpaceDE/>
              <w:autoSpaceDN/>
              <w:adjustRightInd/>
              <w:spacing w:before="0" w:after="0" w:line="280" w:lineRule="atLeast"/>
              <w:textAlignment w:val="auto"/>
              <w:rPr>
                <w:rFonts w:ascii="New York" w:hAnsi="New York"/>
              </w:rPr>
            </w:pPr>
            <w:r>
              <w:rPr>
                <w:rFonts w:ascii="New York" w:hAnsi="New York"/>
              </w:rPr>
              <w:t>FFS whether or not a UE-specific subframe offset for the DL-reference UL/DL configuration can be configured considering system resource utilization and potential spec impact</w:t>
            </w:r>
          </w:p>
          <w:p>
            <w:pPr>
              <w:numPr>
                <w:ilvl w:val="2"/>
                <w:numId w:val="9"/>
              </w:numPr>
              <w:overflowPunct/>
              <w:autoSpaceDE/>
              <w:autoSpaceDN/>
              <w:adjustRightInd/>
              <w:spacing w:before="0" w:after="0" w:line="280" w:lineRule="atLeast"/>
              <w:textAlignment w:val="auto"/>
              <w:rPr>
                <w:rFonts w:ascii="New York" w:hAnsi="New York"/>
              </w:rPr>
            </w:pPr>
            <w:r>
              <w:rPr>
                <w:rFonts w:ascii="New York" w:hAnsi="New York"/>
              </w:rPr>
              <w:t>Case 2: Release 15 LTE-FDD HARQ timing</w:t>
            </w:r>
          </w:p>
          <w:p>
            <w:pPr>
              <w:numPr>
                <w:ilvl w:val="3"/>
                <w:numId w:val="9"/>
              </w:numPr>
              <w:overflowPunct/>
              <w:autoSpaceDE/>
              <w:autoSpaceDN/>
              <w:adjustRightInd/>
              <w:spacing w:before="0" w:after="0" w:line="280" w:lineRule="atLeast"/>
              <w:textAlignment w:val="auto"/>
              <w:rPr>
                <w:rFonts w:ascii="New York" w:hAnsi="New York"/>
              </w:rPr>
            </w:pPr>
            <w:r>
              <w:rPr>
                <w:rFonts w:ascii="New York" w:hAnsi="New York"/>
              </w:rPr>
              <w:t>No impact on LTE RAN1 specifications</w:t>
            </w:r>
          </w:p>
          <w:p>
            <w:pPr>
              <w:spacing w:before="0" w:line="280" w:lineRule="atLeast"/>
              <w:rPr>
                <w:rFonts w:ascii="New York" w:hAnsi="New York"/>
                <w:lang w:val="en-GB" w:eastAsia="zh-CN"/>
              </w:rPr>
            </w:pPr>
            <w:r>
              <w:rPr>
                <w:rFonts w:ascii="New York" w:hAnsi="New York"/>
              </w:rPr>
              <w:t>Note: it doesn’t necessarily imply that UE has to support both cases</w:t>
            </w:r>
          </w:p>
        </w:tc>
      </w:tr>
    </w:tbl>
    <w:p>
      <w:pPr>
        <w:rPr>
          <w:lang w:eastAsia="zh-CN"/>
        </w:rPr>
      </w:pPr>
    </w:p>
    <w:p>
      <w:pPr>
        <w:rPr>
          <w:lang w:eastAsia="zh-CN"/>
        </w:rPr>
      </w:pPr>
      <w:r>
        <w:rPr>
          <w:lang w:eastAsia="zh-CN"/>
        </w:rPr>
        <w:t>In RAN1#93, RAN1</w:t>
      </w:r>
      <w:r>
        <w:rPr>
          <w:rFonts w:hint="eastAsia"/>
          <w:lang w:eastAsia="zh-CN"/>
        </w:rPr>
        <w:t xml:space="preserve"> </w:t>
      </w:r>
      <w:r>
        <w:rPr>
          <w:lang w:eastAsia="zh-CN"/>
        </w:rPr>
        <w:t>finally agreed to l</w:t>
      </w:r>
      <w:r>
        <w:rPr>
          <w:rFonts w:hint="eastAsia"/>
          <w:lang w:eastAsia="zh-CN"/>
        </w:rPr>
        <w:t>eav</w:t>
      </w:r>
      <w:r>
        <w:rPr>
          <w:lang w:eastAsia="zh-CN"/>
        </w:rPr>
        <w:t>e</w:t>
      </w:r>
      <w:r>
        <w:rPr>
          <w:rFonts w:hint="eastAsia"/>
          <w:lang w:eastAsia="zh-CN"/>
        </w:rPr>
        <w:t xml:space="preserve"> </w:t>
      </w:r>
      <w:r>
        <w:rPr>
          <w:lang w:eastAsia="zh-CN"/>
        </w:rPr>
        <w:t>single Tx switched uplink with LTE TDD PCell</w:t>
      </w:r>
      <w:r>
        <w:rPr>
          <w:rFonts w:hint="eastAsia"/>
          <w:lang w:eastAsia="zh-CN"/>
        </w:rPr>
        <w:t xml:space="preserve"> as an implementation issue.</w:t>
      </w:r>
    </w:p>
    <w:tbl>
      <w:tblPr>
        <w:tblStyle w:val="5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0" w:after="0" w:line="280" w:lineRule="atLeast"/>
              <w:jc w:val="left"/>
              <w:rPr>
                <w:u w:val="single"/>
              </w:rPr>
            </w:pPr>
            <w:r>
              <w:rPr>
                <w:rFonts w:ascii="Times" w:hAnsi="Times" w:eastAsia="Batang"/>
                <w:szCs w:val="24"/>
                <w:u w:val="single"/>
                <w:lang w:eastAsia="zh-CN" w:bidi="ar"/>
              </w:rPr>
              <w:t>Conclusion</w:t>
            </w:r>
            <w:r>
              <w:rPr>
                <w:rFonts w:hint="eastAsia" w:ascii="Times" w:hAnsi="Times" w:eastAsia="Batang"/>
                <w:szCs w:val="24"/>
                <w:u w:val="single"/>
                <w:lang w:eastAsia="zh-CN" w:bidi="ar"/>
              </w:rPr>
              <w:t xml:space="preserve"> (RAN1#93)</w:t>
            </w:r>
            <w:r>
              <w:rPr>
                <w:rFonts w:ascii="Times" w:hAnsi="Times" w:eastAsia="Batang"/>
                <w:szCs w:val="24"/>
                <w:u w:val="single"/>
                <w:lang w:eastAsia="zh-CN" w:bidi="ar"/>
              </w:rPr>
              <w:t>:</w:t>
            </w:r>
          </w:p>
          <w:p>
            <w:pPr>
              <w:spacing w:before="0" w:after="0" w:line="280" w:lineRule="atLeast"/>
              <w:jc w:val="left"/>
            </w:pPr>
            <w:r>
              <w:rPr>
                <w:rFonts w:ascii="Times" w:hAnsi="Times" w:eastAsia="Batang"/>
                <w:szCs w:val="24"/>
                <w:lang w:eastAsia="zh-CN" w:bidi="ar"/>
              </w:rPr>
              <w:t>When the UE is configured with multiple UL carriers on different frequencies, but the UE operates only on one of the UL carriers at a given time among a pair of LTE and NR carriers, LTE operation with an LTE TDD PCell using the same HARQ timing as LTE operation without EN-DC is supported by the current RAN1 specifications at least when no LTE UL CA is used at least for the following cases</w:t>
            </w:r>
          </w:p>
          <w:p>
            <w:pPr>
              <w:numPr>
                <w:ilvl w:val="0"/>
                <w:numId w:val="10"/>
              </w:numPr>
              <w:tabs>
                <w:tab w:val="left" w:pos="720"/>
              </w:tabs>
              <w:spacing w:before="0" w:after="0" w:line="280" w:lineRule="atLeast"/>
              <w:rPr>
                <w:rFonts w:ascii="Times" w:hAnsi="Times" w:eastAsia="Batang"/>
                <w:szCs w:val="24"/>
              </w:rPr>
            </w:pPr>
            <w:r>
              <w:rPr>
                <w:rFonts w:ascii="Times" w:hAnsi="Times" w:eastAsia="Batang"/>
                <w:szCs w:val="24"/>
              </w:rPr>
              <w:t>The UE supports dynamic power sharing</w:t>
            </w:r>
          </w:p>
          <w:p>
            <w:pPr>
              <w:numPr>
                <w:ilvl w:val="0"/>
                <w:numId w:val="10"/>
              </w:numPr>
              <w:tabs>
                <w:tab w:val="left" w:pos="720"/>
              </w:tabs>
              <w:spacing w:before="0" w:after="0" w:line="280" w:lineRule="atLeast"/>
              <w:rPr>
                <w:lang w:val="en-GB" w:eastAsia="zh-CN"/>
              </w:rPr>
            </w:pPr>
            <w:r>
              <w:rPr>
                <w:rFonts w:ascii="Times" w:hAnsi="Times" w:eastAsia="Batang"/>
                <w:szCs w:val="24"/>
              </w:rPr>
              <w:t>The UE is configured with P_LTE + P_NR not greater than P_cmax</w:t>
            </w:r>
          </w:p>
        </w:tc>
      </w:tr>
    </w:tbl>
    <w:p>
      <w:pPr>
        <w:rPr>
          <w:lang w:eastAsia="zh-CN"/>
        </w:rPr>
      </w:pPr>
    </w:p>
    <w:p>
      <w:pPr>
        <w:pStyle w:val="2"/>
        <w:rPr>
          <w:lang w:val="en-US" w:eastAsia="zh-CN"/>
        </w:rPr>
      </w:pPr>
      <w:r>
        <w:rPr>
          <w:rFonts w:hint="eastAsia"/>
          <w:lang w:val="en-US" w:eastAsia="zh-CN"/>
        </w:rPr>
        <w:t>Analysis on single Tx switched uplink</w:t>
      </w:r>
    </w:p>
    <w:p>
      <w:pPr>
        <w:pStyle w:val="3"/>
        <w:rPr>
          <w:lang w:eastAsia="zh-CN"/>
        </w:rPr>
      </w:pPr>
      <w:r>
        <w:rPr>
          <w:rFonts w:hint="eastAsia"/>
          <w:lang w:eastAsia="zh-CN"/>
        </w:rPr>
        <w:t>Current status</w:t>
      </w:r>
    </w:p>
    <w:p>
      <w:pPr>
        <w:rPr>
          <w:lang w:eastAsia="zh-CN"/>
        </w:rPr>
      </w:pPr>
      <w:r>
        <w:rPr>
          <w:rFonts w:hint="eastAsia"/>
          <w:lang w:eastAsia="zh-CN"/>
        </w:rPr>
        <w:t>From the above review and analysis, the current status of EN-DC with or without single Tx s</w:t>
      </w:r>
      <w:r>
        <w:rPr>
          <w:lang w:eastAsia="zh-CN"/>
        </w:rPr>
        <w:t>wi</w:t>
      </w:r>
      <w:r>
        <w:rPr>
          <w:rFonts w:hint="eastAsia"/>
          <w:lang w:eastAsia="zh-CN"/>
        </w:rPr>
        <w:t xml:space="preserve">tched uplink transmission </w:t>
      </w:r>
      <w:r>
        <w:rPr>
          <w:lang w:eastAsia="zh-CN"/>
        </w:rPr>
        <w:t>are</w:t>
      </w:r>
      <w:r>
        <w:rPr>
          <w:rFonts w:hint="eastAsia"/>
          <w:lang w:eastAsia="zh-CN"/>
        </w:rPr>
        <w:t xml:space="preserve"> summarized in </w:t>
      </w:r>
      <w:r>
        <w:rPr>
          <w:rFonts w:hint="eastAsia"/>
          <w:lang w:eastAsia="zh-CN"/>
        </w:rPr>
        <w:fldChar w:fldCharType="begin"/>
      </w:r>
      <w:r>
        <w:rPr>
          <w:rFonts w:hint="eastAsia"/>
          <w:lang w:eastAsia="zh-CN"/>
        </w:rPr>
        <w:instrText xml:space="preserve"> REF _Ref29197 \h </w:instrText>
      </w:r>
      <w:r>
        <w:rPr>
          <w:rFonts w:hint="eastAsia"/>
          <w:lang w:eastAsia="zh-CN"/>
        </w:rPr>
        <w:fldChar w:fldCharType="separate"/>
      </w:r>
      <w:r>
        <w:t xml:space="preserve">Table </w:t>
      </w:r>
      <w:r>
        <w:rPr>
          <w:b/>
          <w:bCs/>
        </w:rPr>
        <w:t>1</w:t>
      </w:r>
      <w:r>
        <w:rPr>
          <w:rFonts w:hint="eastAsia"/>
          <w:lang w:eastAsia="zh-CN"/>
        </w:rPr>
        <w:fldChar w:fldCharType="end"/>
      </w:r>
      <w:r>
        <w:rPr>
          <w:rFonts w:hint="eastAsia"/>
          <w:lang w:eastAsia="zh-CN"/>
        </w:rPr>
        <w:t xml:space="preserve">. </w:t>
      </w:r>
      <w:r>
        <w:rPr>
          <w:lang w:eastAsia="zh-CN"/>
        </w:rPr>
        <w:t>RAN1 has already finalized two solutions for single Tx switched uplink for EN-DC with LTE-FDD-PCell and one solution, i.e., treating it as an implementation issue, for single Tx switched uplink for EN-DC with LTE-TDD-PCell.</w:t>
      </w:r>
    </w:p>
    <w:p>
      <w:pPr>
        <w:pStyle w:val="30"/>
        <w:jc w:val="center"/>
        <w:rPr>
          <w:bCs w:val="0"/>
          <w:lang w:eastAsia="zh-CN"/>
        </w:rPr>
      </w:pPr>
      <w:bookmarkStart w:id="1" w:name="_Ref29197"/>
      <w:r>
        <w:rPr>
          <w:bCs w:val="0"/>
        </w:rPr>
        <w:t xml:space="preserve">Table </w:t>
      </w:r>
      <w:r>
        <w:rPr>
          <w:bCs w:val="0"/>
        </w:rPr>
        <w:fldChar w:fldCharType="begin"/>
      </w:r>
      <w:r>
        <w:rPr>
          <w:bCs w:val="0"/>
        </w:rPr>
        <w:instrText xml:space="preserve"> SEQ Table \* ARABIC </w:instrText>
      </w:r>
      <w:r>
        <w:rPr>
          <w:bCs w:val="0"/>
        </w:rPr>
        <w:fldChar w:fldCharType="separate"/>
      </w:r>
      <w:r>
        <w:rPr>
          <w:bCs w:val="0"/>
        </w:rPr>
        <w:t>1</w:t>
      </w:r>
      <w:r>
        <w:rPr>
          <w:bCs w:val="0"/>
        </w:rPr>
        <w:fldChar w:fldCharType="end"/>
      </w:r>
      <w:bookmarkEnd w:id="1"/>
      <w:r>
        <w:rPr>
          <w:rFonts w:hint="eastAsia"/>
          <w:bCs w:val="0"/>
          <w:lang w:eastAsia="zh-CN"/>
        </w:rPr>
        <w:t xml:space="preserve"> Current status of EN-DC with or without single Tx switched uplink</w:t>
      </w:r>
    </w:p>
    <w:tbl>
      <w:tblPr>
        <w:tblStyle w:val="5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3"/>
        <w:gridCol w:w="3911"/>
        <w:gridCol w:w="4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3" w:type="dxa"/>
          </w:tcPr>
          <w:p>
            <w:pPr>
              <w:spacing w:before="120" w:line="280" w:lineRule="atLeast"/>
              <w:rPr>
                <w:lang w:eastAsia="zh-CN"/>
              </w:rPr>
            </w:pPr>
          </w:p>
        </w:tc>
        <w:tc>
          <w:tcPr>
            <w:tcW w:w="3911" w:type="dxa"/>
          </w:tcPr>
          <w:p>
            <w:pPr>
              <w:spacing w:before="120" w:line="280" w:lineRule="atLeast"/>
              <w:rPr>
                <w:lang w:eastAsia="zh-CN"/>
              </w:rPr>
            </w:pPr>
            <w:r>
              <w:rPr>
                <w:rFonts w:hint="eastAsia"/>
                <w:lang w:eastAsia="zh-CN"/>
              </w:rPr>
              <w:t>Single Tx switched uplink</w:t>
            </w:r>
          </w:p>
        </w:tc>
        <w:tc>
          <w:tcPr>
            <w:tcW w:w="4280" w:type="dxa"/>
          </w:tcPr>
          <w:p>
            <w:pPr>
              <w:spacing w:before="120" w:line="280" w:lineRule="atLeast"/>
              <w:rPr>
                <w:lang w:eastAsia="zh-CN"/>
              </w:rPr>
            </w:pPr>
            <w:r>
              <w:rPr>
                <w:rFonts w:hint="eastAsia"/>
                <w:lang w:eastAsia="zh-CN"/>
              </w:rPr>
              <w:t>Simultaneous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3" w:type="dxa"/>
          </w:tcPr>
          <w:p>
            <w:pPr>
              <w:spacing w:before="120" w:line="280" w:lineRule="atLeast"/>
              <w:rPr>
                <w:lang w:eastAsia="zh-CN"/>
              </w:rPr>
            </w:pPr>
            <w:r>
              <w:rPr>
                <w:rFonts w:hint="eastAsia"/>
                <w:lang w:eastAsia="zh-CN"/>
              </w:rPr>
              <w:t>LTE</w:t>
            </w:r>
            <w:r>
              <w:rPr>
                <w:lang w:eastAsia="zh-CN"/>
              </w:rPr>
              <w:t>-</w:t>
            </w:r>
            <w:r>
              <w:rPr>
                <w:rFonts w:hint="eastAsia"/>
                <w:lang w:eastAsia="zh-CN"/>
              </w:rPr>
              <w:t>FDD</w:t>
            </w:r>
            <w:r>
              <w:rPr>
                <w:lang w:eastAsia="zh-CN"/>
              </w:rPr>
              <w:t>-</w:t>
            </w:r>
            <w:r>
              <w:rPr>
                <w:rFonts w:hint="eastAsia"/>
                <w:lang w:eastAsia="zh-CN"/>
              </w:rPr>
              <w:t>PCell</w:t>
            </w:r>
          </w:p>
        </w:tc>
        <w:tc>
          <w:tcPr>
            <w:tcW w:w="3911" w:type="dxa"/>
          </w:tcPr>
          <w:p>
            <w:pPr>
              <w:spacing w:before="120" w:line="280" w:lineRule="atLeast"/>
              <w:rPr>
                <w:lang w:eastAsia="zh-CN"/>
              </w:rPr>
            </w:pPr>
            <w:r>
              <w:rPr>
                <w:rFonts w:hint="eastAsia"/>
                <w:lang w:eastAsia="zh-CN"/>
              </w:rPr>
              <w:t>Case 1: DL-reference UL/DL configuration defined for LTE-FDD-SCell in LTE-TDD-FDD CA with LTE-TDD-PCell.</w:t>
            </w:r>
          </w:p>
          <w:p>
            <w:pPr>
              <w:spacing w:before="120" w:line="280" w:lineRule="atLeast"/>
              <w:rPr>
                <w:lang w:eastAsia="zh-CN"/>
              </w:rPr>
            </w:pPr>
            <w:bookmarkStart w:id="2" w:name="OLE_LINK2"/>
            <w:r>
              <w:rPr>
                <w:lang w:eastAsia="zh-CN"/>
              </w:rPr>
              <w:t>Case 2: Release 15 LTE-FDD HARQ timing</w:t>
            </w:r>
            <w:bookmarkEnd w:id="2"/>
          </w:p>
        </w:tc>
        <w:tc>
          <w:tcPr>
            <w:tcW w:w="4280" w:type="dxa"/>
          </w:tcPr>
          <w:p>
            <w:pPr>
              <w:spacing w:before="120" w:line="280" w:lineRule="atLeast"/>
              <w:rPr>
                <w:lang w:eastAsia="zh-CN"/>
              </w:rPr>
            </w:pPr>
            <w:r>
              <w:rPr>
                <w:rFonts w:hint="eastAsia"/>
                <w:lang w:eastAsia="zh-CN"/>
              </w:rPr>
              <w:t>No limitations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3" w:type="dxa"/>
          </w:tcPr>
          <w:p>
            <w:pPr>
              <w:spacing w:before="120" w:line="280" w:lineRule="atLeast"/>
              <w:rPr>
                <w:lang w:eastAsia="zh-CN"/>
              </w:rPr>
            </w:pPr>
            <w:r>
              <w:rPr>
                <w:rFonts w:hint="eastAsia"/>
                <w:lang w:eastAsia="zh-CN"/>
              </w:rPr>
              <w:t>LTE</w:t>
            </w:r>
            <w:r>
              <w:rPr>
                <w:lang w:eastAsia="zh-CN"/>
              </w:rPr>
              <w:t>-</w:t>
            </w:r>
            <w:r>
              <w:rPr>
                <w:rFonts w:hint="eastAsia"/>
                <w:lang w:eastAsia="zh-CN"/>
              </w:rPr>
              <w:t>TDD</w:t>
            </w:r>
            <w:r>
              <w:rPr>
                <w:lang w:eastAsia="zh-CN"/>
              </w:rPr>
              <w:t>-</w:t>
            </w:r>
            <w:r>
              <w:rPr>
                <w:rFonts w:hint="eastAsia"/>
                <w:lang w:eastAsia="zh-CN"/>
              </w:rPr>
              <w:t>PCell</w:t>
            </w:r>
          </w:p>
        </w:tc>
        <w:tc>
          <w:tcPr>
            <w:tcW w:w="3911" w:type="dxa"/>
          </w:tcPr>
          <w:p>
            <w:pPr>
              <w:spacing w:before="120" w:line="280" w:lineRule="atLeast"/>
              <w:rPr>
                <w:lang w:eastAsia="zh-CN"/>
              </w:rPr>
            </w:pPr>
            <w:r>
              <w:rPr>
                <w:lang w:eastAsia="zh-CN"/>
              </w:rPr>
              <w:t>Release 15 LTE-</w:t>
            </w:r>
            <w:r>
              <w:rPr>
                <w:rFonts w:hint="eastAsia"/>
                <w:lang w:eastAsia="zh-CN"/>
              </w:rPr>
              <w:t>T</w:t>
            </w:r>
            <w:r>
              <w:rPr>
                <w:lang w:eastAsia="zh-CN"/>
              </w:rPr>
              <w:t>DD HARQ timing</w:t>
            </w:r>
          </w:p>
        </w:tc>
        <w:tc>
          <w:tcPr>
            <w:tcW w:w="4280" w:type="dxa"/>
          </w:tcPr>
          <w:p>
            <w:pPr>
              <w:spacing w:before="120" w:line="280" w:lineRule="atLeast"/>
              <w:rPr>
                <w:lang w:eastAsia="zh-CN"/>
              </w:rPr>
            </w:pPr>
            <w:r>
              <w:rPr>
                <w:rFonts w:hint="eastAsia"/>
                <w:lang w:eastAsia="zh-CN"/>
              </w:rPr>
              <w:t>UL transmission timing in TDD LTE carrier is following its own UL/DL configuration by default</w:t>
            </w:r>
          </w:p>
        </w:tc>
      </w:tr>
    </w:tbl>
    <w:p>
      <w:pPr>
        <w:rPr>
          <w:lang w:eastAsia="zh-CN"/>
        </w:rPr>
      </w:pPr>
    </w:p>
    <w:p>
      <w:pPr>
        <w:pStyle w:val="138"/>
      </w:pPr>
      <w:r>
        <w:rPr>
          <w:rFonts w:hint="eastAsia"/>
        </w:rPr>
        <w:t>RAN1 has already finalized the solutions for single Tx switched uplink for EN-DC with LTE FDD PCell and LTE TDD PCell.</w:t>
      </w:r>
    </w:p>
    <w:p>
      <w:pPr>
        <w:rPr>
          <w:lang w:eastAsia="zh-CN"/>
        </w:rPr>
      </w:pPr>
      <w:r>
        <w:rPr>
          <w:rFonts w:hint="eastAsia"/>
          <w:lang w:eastAsia="zh-CN"/>
        </w:rPr>
        <w:t xml:space="preserve">In RAN#81, the work item </w:t>
      </w:r>
      <w:r>
        <w:rPr>
          <w:rFonts w:hint="eastAsia"/>
          <w:lang w:eastAsia="zh-CN"/>
        </w:rPr>
        <w:fldChar w:fldCharType="begin"/>
      </w:r>
      <w:r>
        <w:rPr>
          <w:rFonts w:hint="eastAsia"/>
          <w:lang w:eastAsia="zh-CN"/>
        </w:rPr>
        <w:instrText xml:space="preserve"> REF _Ref13017 \n \h </w:instrText>
      </w:r>
      <w:r>
        <w:rPr>
          <w:rFonts w:hint="eastAsia"/>
          <w:lang w:eastAsia="zh-CN"/>
        </w:rPr>
        <w:fldChar w:fldCharType="separate"/>
      </w:r>
      <w:r>
        <w:rPr>
          <w:lang w:eastAsia="zh-CN"/>
        </w:rPr>
        <w:t>[3]</w:t>
      </w:r>
      <w:r>
        <w:rPr>
          <w:rFonts w:hint="eastAsia"/>
          <w:lang w:eastAsia="zh-CN"/>
        </w:rPr>
        <w:fldChar w:fldCharType="end"/>
      </w:r>
      <w:r>
        <w:rPr>
          <w:rFonts w:hint="eastAsia"/>
          <w:lang w:eastAsia="zh-CN"/>
        </w:rPr>
        <w:t xml:space="preserve"> on Multi-RAT Dual-Connectivity and Carrier Aggregation enhancements has been approved. One of the </w:t>
      </w:r>
      <w:r>
        <w:rPr>
          <w:lang w:eastAsia="zh-CN"/>
        </w:rPr>
        <w:t>objectives</w:t>
      </w:r>
      <w:r>
        <w:rPr>
          <w:rFonts w:hint="eastAsia"/>
          <w:lang w:eastAsia="zh-CN"/>
        </w:rPr>
        <w:t xml:space="preserve"> is to study and, if found beneficial over the existing single Tx switched uplink solution, specify enhancements to single Tx switched uplink solution for EN-DC in Rel-16, such as allowing all DL and UL subframes for data transmission for both NR and LTE.</w:t>
      </w:r>
    </w:p>
    <w:p>
      <w:pPr>
        <w:rPr>
          <w:lang w:eastAsia="zh-CN"/>
        </w:rPr>
      </w:pPr>
      <w:r>
        <w:rPr>
          <w:rFonts w:hint="eastAsia"/>
          <w:lang w:eastAsia="zh-CN"/>
        </w:rPr>
        <w:t>S</w:t>
      </w:r>
      <w:r>
        <w:rPr>
          <w:lang w:eastAsia="zh-CN"/>
        </w:rPr>
        <w:t xml:space="preserve">ince only one simple solution has been agreed for single Tx switched uplink for EN-DC with LTE-TDD-PCell, some companies </w:t>
      </w:r>
      <w:r>
        <w:rPr>
          <w:lang w:eastAsia="zh-CN"/>
        </w:rPr>
        <w:fldChar w:fldCharType="begin"/>
      </w:r>
      <w:r>
        <w:rPr>
          <w:lang w:eastAsia="zh-CN"/>
        </w:rPr>
        <w:instrText xml:space="preserve"> REF _Ref534966294 \n \h </w:instrText>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_Ref534966295 \n \h </w:instrText>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_Ref534966296 \n \h </w:instrText>
      </w:r>
      <w:r>
        <w:rPr>
          <w:lang w:eastAsia="zh-CN"/>
        </w:rPr>
        <w:fldChar w:fldCharType="separate"/>
      </w:r>
      <w:r>
        <w:rPr>
          <w:lang w:eastAsia="zh-CN"/>
        </w:rPr>
        <w:t>[4]</w:t>
      </w:r>
      <w:r>
        <w:rPr>
          <w:lang w:eastAsia="zh-CN"/>
        </w:rPr>
        <w:fldChar w:fldCharType="end"/>
      </w:r>
      <w:r>
        <w:rPr>
          <w:lang w:eastAsia="zh-CN"/>
        </w:rPr>
        <w:t xml:space="preserve"> proposed different solutions to deal with this issue. We analyze two solutions on the table, i.e., reusing eIMTA mechanism and reserving GP and UpPTS in LTE special subframes for NR.</w:t>
      </w:r>
    </w:p>
    <w:p>
      <w:pPr>
        <w:pStyle w:val="3"/>
        <w:rPr>
          <w:lang w:eastAsia="zh-CN"/>
        </w:rPr>
      </w:pPr>
      <w:r>
        <w:rPr>
          <w:lang w:eastAsia="zh-CN"/>
        </w:rPr>
        <w:t>Reusing eIMTA mechanism</w:t>
      </w:r>
    </w:p>
    <w:p>
      <w:pPr>
        <w:rPr>
          <w:lang w:eastAsia="zh-CN"/>
        </w:rPr>
      </w:pPr>
      <w:r>
        <w:rPr>
          <w:rFonts w:hint="eastAsia"/>
          <w:lang w:eastAsia="zh-CN"/>
        </w:rPr>
        <w:t xml:space="preserve">The solution of reusing eIMTA mechanism for single Tx switched uplink here is a semi-static solution. Specifically, only the </w:t>
      </w:r>
      <w:r>
        <w:rPr>
          <w:lang w:eastAsia="zh-CN"/>
        </w:rPr>
        <w:t>“</w:t>
      </w:r>
      <w:r>
        <w:rPr>
          <w:rFonts w:hint="eastAsia"/>
          <w:i/>
          <w:lang w:eastAsia="zh-CN"/>
        </w:rPr>
        <w:t>subframeAssignment</w:t>
      </w:r>
      <w:r>
        <w:rPr>
          <w:lang w:eastAsia="zh-CN"/>
        </w:rPr>
        <w:t>”</w:t>
      </w:r>
      <w:r>
        <w:rPr>
          <w:rFonts w:hint="eastAsia"/>
          <w:lang w:eastAsia="zh-CN"/>
        </w:rPr>
        <w:t xml:space="preserve"> in LTE SIB1 and </w:t>
      </w:r>
      <w:r>
        <w:rPr>
          <w:lang w:eastAsia="zh-CN"/>
        </w:rPr>
        <w:t>“</w:t>
      </w:r>
      <w:r>
        <w:rPr>
          <w:rFonts w:hint="eastAsia"/>
          <w:i/>
          <w:lang w:eastAsia="zh-CN"/>
        </w:rPr>
        <w:t>eimta-HARQ-ReferenceConfig-r12</w:t>
      </w:r>
      <w:r>
        <w:rPr>
          <w:lang w:eastAsia="zh-CN"/>
        </w:rPr>
        <w:t>”</w:t>
      </w:r>
      <w:r>
        <w:rPr>
          <w:rFonts w:hint="eastAsia"/>
          <w:lang w:eastAsia="zh-CN"/>
        </w:rPr>
        <w:t xml:space="preserve"> in LTE RRC other than the L1 signaling (i.e., DCI) are reused.</w:t>
      </w:r>
    </w:p>
    <w:p>
      <w:pPr>
        <w:rPr>
          <w:lang w:eastAsia="zh-CN"/>
        </w:rPr>
      </w:pPr>
      <w:r>
        <w:rPr>
          <w:rFonts w:hint="eastAsia"/>
          <w:lang w:eastAsia="zh-CN"/>
        </w:rPr>
        <w:t>F</w:t>
      </w:r>
      <w:r>
        <w:rPr>
          <w:lang w:eastAsia="zh-CN"/>
        </w:rPr>
        <w:t>rom our perspective, applying eIMTA mechanism in LTE to determine the HARQ timing of single Tx switched uplink in LTE</w:t>
      </w:r>
      <w:r>
        <w:rPr>
          <w:rFonts w:hint="eastAsia"/>
          <w:lang w:eastAsia="zh-CN"/>
        </w:rPr>
        <w:t>-</w:t>
      </w:r>
      <w:r>
        <w:rPr>
          <w:lang w:eastAsia="zh-CN"/>
        </w:rPr>
        <w:t xml:space="preserve">TDD bands is more like an implementation issue, which doesn’t need to specify anything in RAN1 specifications. By reusing eIMTA mechanism, the overall behaviors in </w:t>
      </w:r>
      <w:r>
        <w:rPr>
          <w:b/>
          <w:lang w:eastAsia="zh-CN"/>
        </w:rPr>
        <w:t xml:space="preserve">network side </w:t>
      </w:r>
      <w:r>
        <w:rPr>
          <w:lang w:eastAsia="zh-CN"/>
        </w:rPr>
        <w:t xml:space="preserve">and </w:t>
      </w:r>
      <w:r>
        <w:rPr>
          <w:b/>
          <w:lang w:eastAsia="zh-CN"/>
        </w:rPr>
        <w:t>UE side</w:t>
      </w:r>
      <w:r>
        <w:rPr>
          <w:lang w:eastAsia="zh-CN"/>
        </w:rPr>
        <w:t xml:space="preserve"> are summarized as below.</w:t>
      </w:r>
    </w:p>
    <w:p>
      <w:pPr>
        <w:rPr>
          <w:b/>
          <w:u w:val="single"/>
          <w:lang w:eastAsia="zh-CN"/>
        </w:rPr>
      </w:pPr>
      <w:r>
        <w:rPr>
          <w:b/>
          <w:u w:val="single"/>
          <w:lang w:eastAsia="zh-CN"/>
        </w:rPr>
        <w:t>Network side</w:t>
      </w:r>
    </w:p>
    <w:p>
      <w:pPr>
        <w:rPr>
          <w:lang w:eastAsia="zh-CN"/>
        </w:rPr>
      </w:pPr>
      <w:r>
        <w:rPr>
          <w:rFonts w:hint="eastAsia"/>
          <w:lang w:eastAsia="zh-CN"/>
        </w:rPr>
        <w:t>1</w:t>
      </w:r>
      <w:r>
        <w:rPr>
          <w:lang w:eastAsia="zh-CN"/>
        </w:rPr>
        <w:t xml:space="preserve">. LTE eNB broadcasts </w:t>
      </w:r>
      <w:r>
        <w:rPr>
          <w:rFonts w:hint="eastAsia"/>
          <w:lang w:eastAsia="zh-CN"/>
        </w:rPr>
        <w:t xml:space="preserve">the </w:t>
      </w:r>
      <w:r>
        <w:rPr>
          <w:lang w:eastAsia="zh-CN"/>
        </w:rPr>
        <w:t>“</w:t>
      </w:r>
      <w:r>
        <w:rPr>
          <w:rFonts w:hint="eastAsia"/>
          <w:i/>
          <w:lang w:eastAsia="zh-CN"/>
        </w:rPr>
        <w:t>subframeAssignment</w:t>
      </w:r>
      <w:r>
        <w:rPr>
          <w:lang w:eastAsia="zh-CN"/>
        </w:rPr>
        <w:t>”</w:t>
      </w:r>
      <w:r>
        <w:rPr>
          <w:rFonts w:hint="eastAsia"/>
          <w:lang w:eastAsia="zh-CN"/>
        </w:rPr>
        <w:t xml:space="preserve"> in LTE SIB1</w:t>
      </w:r>
      <w:r>
        <w:rPr>
          <w:lang w:eastAsia="zh-CN"/>
        </w:rPr>
        <w:t>.</w:t>
      </w:r>
    </w:p>
    <w:p>
      <w:pPr>
        <w:rPr>
          <w:lang w:eastAsia="zh-CN"/>
        </w:rPr>
      </w:pPr>
      <w:r>
        <w:rPr>
          <w:lang w:eastAsia="zh-CN"/>
        </w:rPr>
        <w:t xml:space="preserve">2. LTE eNB transmits </w:t>
      </w:r>
      <w:r>
        <w:rPr>
          <w:rFonts w:hint="eastAsia"/>
          <w:lang w:eastAsia="zh-CN"/>
        </w:rPr>
        <w:t xml:space="preserve">the </w:t>
      </w:r>
      <w:r>
        <w:rPr>
          <w:lang w:eastAsia="zh-CN"/>
        </w:rPr>
        <w:t>“</w:t>
      </w:r>
      <w:r>
        <w:rPr>
          <w:rFonts w:hint="eastAsia"/>
          <w:i/>
          <w:lang w:eastAsia="zh-CN"/>
        </w:rPr>
        <w:t>eimta-HARQ-ReferenceConfig-r12</w:t>
      </w:r>
      <w:r>
        <w:rPr>
          <w:lang w:eastAsia="zh-CN"/>
        </w:rPr>
        <w:t>”</w:t>
      </w:r>
      <w:r>
        <w:rPr>
          <w:rFonts w:hint="eastAsia"/>
          <w:lang w:eastAsia="zh-CN"/>
        </w:rPr>
        <w:t xml:space="preserve"> in LTE RRC</w:t>
      </w:r>
      <w:r>
        <w:rPr>
          <w:lang w:eastAsia="zh-CN"/>
        </w:rPr>
        <w:t>.</w:t>
      </w:r>
    </w:p>
    <w:p>
      <w:pPr>
        <w:rPr>
          <w:lang w:eastAsia="zh-CN"/>
        </w:rPr>
      </w:pPr>
      <w:r>
        <w:rPr>
          <w:lang w:eastAsia="zh-CN"/>
        </w:rPr>
        <w:t xml:space="preserve">3. LTE eNB sends </w:t>
      </w:r>
      <w:r>
        <w:rPr>
          <w:rFonts w:hint="eastAsia"/>
          <w:lang w:eastAsia="zh-CN"/>
        </w:rPr>
        <w:t xml:space="preserve">the </w:t>
      </w:r>
      <w:r>
        <w:rPr>
          <w:lang w:eastAsia="zh-CN"/>
        </w:rPr>
        <w:t>IE “</w:t>
      </w:r>
      <w:r>
        <w:rPr>
          <w:rFonts w:hint="eastAsia"/>
          <w:i/>
          <w:lang w:eastAsia="zh-CN"/>
        </w:rPr>
        <w:t>subframeAssignment</w:t>
      </w:r>
      <w:r>
        <w:rPr>
          <w:lang w:eastAsia="zh-CN"/>
        </w:rPr>
        <w:t>”</w:t>
      </w:r>
      <w:r>
        <w:rPr>
          <w:rFonts w:hint="eastAsia"/>
          <w:lang w:eastAsia="zh-CN"/>
        </w:rPr>
        <w:t xml:space="preserve"> </w:t>
      </w:r>
      <w:r>
        <w:rPr>
          <w:lang w:eastAsia="zh-CN"/>
        </w:rPr>
        <w:t>and IE</w:t>
      </w:r>
      <w:r>
        <w:rPr>
          <w:rFonts w:hint="eastAsia"/>
          <w:lang w:eastAsia="zh-CN"/>
        </w:rPr>
        <w:t xml:space="preserve"> </w:t>
      </w:r>
      <w:r>
        <w:rPr>
          <w:lang w:eastAsia="zh-CN"/>
        </w:rPr>
        <w:t>“</w:t>
      </w:r>
      <w:r>
        <w:rPr>
          <w:rFonts w:hint="eastAsia"/>
          <w:i/>
          <w:lang w:eastAsia="zh-CN"/>
        </w:rPr>
        <w:t>eimta-HARQ-ReferenceConfig-r12</w:t>
      </w:r>
      <w:r>
        <w:rPr>
          <w:lang w:eastAsia="zh-CN"/>
        </w:rPr>
        <w:t>”</w:t>
      </w:r>
      <w:r>
        <w:rPr>
          <w:rFonts w:hint="eastAsia"/>
          <w:lang w:eastAsia="zh-CN"/>
        </w:rPr>
        <w:t xml:space="preserve"> </w:t>
      </w:r>
      <w:r>
        <w:rPr>
          <w:lang w:eastAsia="zh-CN"/>
        </w:rPr>
        <w:t>to NR gNB.</w:t>
      </w:r>
    </w:p>
    <w:p>
      <w:pPr>
        <w:rPr>
          <w:lang w:eastAsia="zh-CN"/>
        </w:rPr>
      </w:pPr>
      <w:r>
        <w:rPr>
          <w:lang w:eastAsia="zh-CN"/>
        </w:rPr>
        <w:t xml:space="preserve">4. NR gNB reserves the slots that overlap with the LTE flexible subframes (that not marked </w:t>
      </w:r>
      <w:r>
        <w:t>as DL in LTE SIB1 nor marked as UL in LTE RRC configuration</w:t>
      </w:r>
      <w:r>
        <w:rPr>
          <w:lang w:eastAsia="zh-CN"/>
        </w:rPr>
        <w:t>) as UL slots.</w:t>
      </w:r>
    </w:p>
    <w:p>
      <w:pPr>
        <w:rPr>
          <w:b/>
          <w:u w:val="single"/>
          <w:lang w:eastAsia="zh-CN"/>
        </w:rPr>
      </w:pPr>
      <w:r>
        <w:rPr>
          <w:lang w:eastAsia="zh-CN"/>
        </w:rPr>
        <w:t xml:space="preserve">The above four steps can guarantee that UE transmits LTE-uplink in the UL subframes indicated by </w:t>
      </w:r>
      <w:r>
        <w:rPr>
          <w:rFonts w:hint="eastAsia"/>
          <w:lang w:eastAsia="zh-CN"/>
        </w:rPr>
        <w:t xml:space="preserve">the </w:t>
      </w:r>
      <w:r>
        <w:rPr>
          <w:lang w:eastAsia="zh-CN"/>
        </w:rPr>
        <w:t>“</w:t>
      </w:r>
      <w:r>
        <w:rPr>
          <w:rFonts w:hint="eastAsia"/>
          <w:i/>
          <w:lang w:eastAsia="zh-CN"/>
        </w:rPr>
        <w:t>eimta-HARQ-ReferenceConfig-r12</w:t>
      </w:r>
      <w:r>
        <w:rPr>
          <w:lang w:eastAsia="zh-CN"/>
        </w:rPr>
        <w:t>”</w:t>
      </w:r>
      <w:r>
        <w:rPr>
          <w:rFonts w:hint="eastAsia"/>
          <w:lang w:eastAsia="zh-CN"/>
        </w:rPr>
        <w:t xml:space="preserve"> in LTE RRC</w:t>
      </w:r>
      <w:r>
        <w:rPr>
          <w:lang w:eastAsia="zh-CN"/>
        </w:rPr>
        <w:t xml:space="preserve"> and transmits NR-uplink in the UL slots indicated by SFI or RRC in NR side. Furthermore, the LTE-uplink and NR-uplink are totally TDMed.</w:t>
      </w:r>
    </w:p>
    <w:p>
      <w:pPr>
        <w:rPr>
          <w:b/>
          <w:u w:val="single"/>
          <w:lang w:eastAsia="zh-CN"/>
        </w:rPr>
      </w:pPr>
      <w:r>
        <w:rPr>
          <w:b/>
          <w:u w:val="single"/>
          <w:lang w:eastAsia="zh-CN"/>
        </w:rPr>
        <w:t>UE side</w:t>
      </w:r>
    </w:p>
    <w:p>
      <w:pPr>
        <w:rPr>
          <w:lang w:eastAsia="zh-CN"/>
        </w:rPr>
      </w:pPr>
      <w:r>
        <w:rPr>
          <w:rFonts w:hint="eastAsia"/>
          <w:lang w:eastAsia="zh-CN"/>
        </w:rPr>
        <w:t>1</w:t>
      </w:r>
      <w:r>
        <w:rPr>
          <w:lang w:eastAsia="zh-CN"/>
        </w:rPr>
        <w:t>. UE informs the LTE eNB of its single Tx switched uplink capability.</w:t>
      </w:r>
    </w:p>
    <w:p>
      <w:pPr>
        <w:rPr>
          <w:lang w:eastAsia="zh-CN"/>
        </w:rPr>
      </w:pPr>
      <w:r>
        <w:rPr>
          <w:lang w:eastAsia="zh-CN"/>
        </w:rPr>
        <w:t xml:space="preserve">2. UE receives </w:t>
      </w:r>
      <w:r>
        <w:rPr>
          <w:rFonts w:hint="eastAsia"/>
          <w:lang w:eastAsia="zh-CN"/>
        </w:rPr>
        <w:t xml:space="preserve">the </w:t>
      </w:r>
      <w:r>
        <w:rPr>
          <w:lang w:eastAsia="zh-CN"/>
        </w:rPr>
        <w:t>“</w:t>
      </w:r>
      <w:r>
        <w:rPr>
          <w:rFonts w:hint="eastAsia"/>
          <w:i/>
          <w:lang w:eastAsia="zh-CN"/>
        </w:rPr>
        <w:t>subframeAssignment</w:t>
      </w:r>
      <w:r>
        <w:rPr>
          <w:lang w:eastAsia="zh-CN"/>
        </w:rPr>
        <w:t>”</w:t>
      </w:r>
      <w:r>
        <w:rPr>
          <w:rFonts w:hint="eastAsia"/>
          <w:lang w:eastAsia="zh-CN"/>
        </w:rPr>
        <w:t xml:space="preserve"> in LTE SIB1</w:t>
      </w:r>
      <w:r>
        <w:rPr>
          <w:lang w:eastAsia="zh-CN"/>
        </w:rPr>
        <w:t>.</w:t>
      </w:r>
    </w:p>
    <w:p>
      <w:pPr>
        <w:rPr>
          <w:lang w:eastAsia="zh-CN"/>
        </w:rPr>
      </w:pPr>
      <w:r>
        <w:rPr>
          <w:lang w:eastAsia="zh-CN"/>
        </w:rPr>
        <w:t>3. UE receives the “</w:t>
      </w:r>
      <w:r>
        <w:rPr>
          <w:rFonts w:hint="eastAsia"/>
          <w:i/>
          <w:lang w:eastAsia="zh-CN"/>
        </w:rPr>
        <w:t>eimta-HARQ-ReferenceConfig-r12</w:t>
      </w:r>
      <w:r>
        <w:rPr>
          <w:lang w:eastAsia="zh-CN"/>
        </w:rPr>
        <w:t>”</w:t>
      </w:r>
      <w:r>
        <w:rPr>
          <w:rFonts w:hint="eastAsia"/>
          <w:lang w:eastAsia="zh-CN"/>
        </w:rPr>
        <w:t xml:space="preserve"> in LTE RRC</w:t>
      </w:r>
      <w:r>
        <w:rPr>
          <w:lang w:eastAsia="zh-CN"/>
        </w:rPr>
        <w:t>.</w:t>
      </w:r>
    </w:p>
    <w:p>
      <w:pPr>
        <w:rPr>
          <w:lang w:eastAsia="zh-CN"/>
        </w:rPr>
      </w:pPr>
      <w:r>
        <w:rPr>
          <w:lang w:eastAsia="zh-CN"/>
        </w:rPr>
        <w:t>4. UE receives the SFI or RRC that configure its DL/UL configuration</w:t>
      </w:r>
      <w:r>
        <w:rPr>
          <w:rFonts w:hint="eastAsia"/>
          <w:lang w:eastAsia="zh-CN"/>
        </w:rPr>
        <w:t xml:space="preserve"> in NR side</w:t>
      </w:r>
      <w:r>
        <w:rPr>
          <w:lang w:eastAsia="zh-CN"/>
        </w:rPr>
        <w:t>.</w:t>
      </w:r>
    </w:p>
    <w:p>
      <w:pPr>
        <w:rPr>
          <w:lang w:eastAsia="zh-CN"/>
        </w:rPr>
      </w:pPr>
      <w:r>
        <w:rPr>
          <w:rFonts w:hint="eastAsia"/>
          <w:lang w:eastAsia="zh-CN"/>
        </w:rPr>
        <w:t>5</w:t>
      </w:r>
      <w:r>
        <w:rPr>
          <w:lang w:eastAsia="zh-CN"/>
        </w:rPr>
        <w:t xml:space="preserve">. UE transmits the LTE-uplink in the UL subframes indicated by </w:t>
      </w:r>
      <w:r>
        <w:rPr>
          <w:rFonts w:hint="eastAsia"/>
          <w:i/>
          <w:lang w:eastAsia="zh-CN"/>
        </w:rPr>
        <w:t>eimta-HARQ-ReferenceConfig-r12</w:t>
      </w:r>
      <w:r>
        <w:rPr>
          <w:lang w:eastAsia="zh-CN"/>
        </w:rPr>
        <w:t>”</w:t>
      </w:r>
      <w:r>
        <w:rPr>
          <w:rFonts w:hint="eastAsia"/>
          <w:lang w:eastAsia="zh-CN"/>
        </w:rPr>
        <w:t xml:space="preserve"> in LTE RRC</w:t>
      </w:r>
      <w:r>
        <w:rPr>
          <w:lang w:eastAsia="zh-CN"/>
        </w:rPr>
        <w:t xml:space="preserve"> and transmits the NR-uplink in the UL slots indicated by NR SFI or NR RRC.</w:t>
      </w:r>
    </w:p>
    <w:p>
      <w:pPr>
        <w:rPr>
          <w:lang w:eastAsia="zh-CN"/>
        </w:rPr>
      </w:pPr>
      <w:r>
        <w:rPr>
          <w:lang w:eastAsia="zh-CN"/>
        </w:rPr>
        <w:fldChar w:fldCharType="begin"/>
      </w:r>
      <w:r>
        <w:rPr>
          <w:lang w:eastAsia="zh-CN"/>
        </w:rPr>
        <w:instrText xml:space="preserve"> REF _Ref18915 \h </w:instrText>
      </w:r>
      <w:r>
        <w:rPr>
          <w:lang w:eastAsia="zh-CN"/>
        </w:rPr>
        <w:fldChar w:fldCharType="separate"/>
      </w:r>
      <w:r>
        <w:t>Figure 1</w:t>
      </w:r>
      <w:r>
        <w:rPr>
          <w:lang w:eastAsia="zh-CN"/>
        </w:rPr>
        <w:fldChar w:fldCharType="end"/>
      </w:r>
      <w:r>
        <w:rPr>
          <w:rFonts w:hint="eastAsia"/>
          <w:lang w:eastAsia="zh-CN"/>
        </w:rPr>
        <w:t xml:space="preserve">, as shown below, is taken as an example for better illustration. </w:t>
      </w:r>
      <w:r>
        <w:rPr>
          <w:lang w:eastAsia="zh-CN"/>
        </w:rPr>
        <w:t xml:space="preserve"> In this example, the “</w:t>
      </w:r>
      <w:r>
        <w:rPr>
          <w:rFonts w:hint="eastAsia"/>
          <w:i/>
          <w:lang w:eastAsia="zh-CN"/>
        </w:rPr>
        <w:t>subframeAssignment</w:t>
      </w:r>
      <w:r>
        <w:rPr>
          <w:lang w:eastAsia="zh-CN"/>
        </w:rPr>
        <w:t>”</w:t>
      </w:r>
      <w:r>
        <w:rPr>
          <w:rFonts w:hint="eastAsia"/>
          <w:lang w:eastAsia="zh-CN"/>
        </w:rPr>
        <w:t xml:space="preserve"> in LTE SIB1</w:t>
      </w:r>
      <w:r>
        <w:rPr>
          <w:lang w:eastAsia="zh-CN"/>
        </w:rPr>
        <w:t xml:space="preserve"> and the “</w:t>
      </w:r>
      <w:r>
        <w:rPr>
          <w:rFonts w:hint="eastAsia"/>
          <w:i/>
          <w:lang w:eastAsia="zh-CN"/>
        </w:rPr>
        <w:t>eimta-HARQ-ReferenceConfig-r12</w:t>
      </w:r>
      <w:r>
        <w:rPr>
          <w:lang w:eastAsia="zh-CN"/>
        </w:rPr>
        <w:t>”</w:t>
      </w:r>
      <w:r>
        <w:rPr>
          <w:rFonts w:hint="eastAsia"/>
          <w:lang w:eastAsia="zh-CN"/>
        </w:rPr>
        <w:t xml:space="preserve"> in LTE RRC</w:t>
      </w:r>
      <w:r>
        <w:rPr>
          <w:lang w:eastAsia="zh-CN"/>
        </w:rPr>
        <w:t xml:space="preserve"> are </w:t>
      </w:r>
      <w:r>
        <w:rPr>
          <w:b/>
          <w:lang w:eastAsia="zh-CN"/>
        </w:rPr>
        <w:t>TDD Config 2</w:t>
      </w:r>
      <w:r>
        <w:rPr>
          <w:lang w:eastAsia="zh-CN"/>
        </w:rPr>
        <w:t xml:space="preserve"> and </w:t>
      </w:r>
      <w:r>
        <w:rPr>
          <w:b/>
          <w:lang w:eastAsia="zh-CN"/>
        </w:rPr>
        <w:t xml:space="preserve">TDD Config 5 </w:t>
      </w:r>
      <w:r>
        <w:rPr>
          <w:lang w:eastAsia="zh-CN"/>
        </w:rPr>
        <w:t xml:space="preserve">respectively. </w:t>
      </w:r>
      <w:r>
        <w:rPr>
          <w:rFonts w:hint="eastAsia"/>
          <w:lang w:eastAsia="zh-CN"/>
        </w:rPr>
        <w:t xml:space="preserve">The UE </w:t>
      </w:r>
      <w:r>
        <w:rPr>
          <w:lang w:eastAsia="zh-CN"/>
        </w:rPr>
        <w:t>behavior</w:t>
      </w:r>
      <w:r>
        <w:rPr>
          <w:rFonts w:hint="eastAsia"/>
          <w:lang w:eastAsia="zh-CN"/>
        </w:rPr>
        <w:t xml:space="preserve"> in LTE side and NR side are </w:t>
      </w:r>
      <w:r>
        <w:rPr>
          <w:lang w:eastAsia="zh-CN"/>
        </w:rPr>
        <w:t>described</w:t>
      </w:r>
      <w:r>
        <w:rPr>
          <w:rFonts w:hint="eastAsia"/>
          <w:lang w:eastAsia="zh-CN"/>
        </w:rPr>
        <w:t xml:space="preserve"> separately.</w:t>
      </w:r>
    </w:p>
    <w:p>
      <w:pPr>
        <w:jc w:val="center"/>
      </w:pPr>
      <w:r>
        <w:rPr>
          <w:lang w:eastAsia="zh-CN"/>
        </w:rPr>
        <w:drawing>
          <wp:inline distT="0" distB="0" distL="114300" distR="114300">
            <wp:extent cx="4237990" cy="195643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237990" cy="1956435"/>
                    </a:xfrm>
                    <a:prstGeom prst="rect">
                      <a:avLst/>
                    </a:prstGeom>
                    <a:noFill/>
                    <a:ln>
                      <a:noFill/>
                    </a:ln>
                  </pic:spPr>
                </pic:pic>
              </a:graphicData>
            </a:graphic>
          </wp:inline>
        </w:drawing>
      </w:r>
    </w:p>
    <w:p>
      <w:pPr>
        <w:pStyle w:val="30"/>
        <w:jc w:val="center"/>
        <w:rPr>
          <w:lang w:eastAsia="zh-CN"/>
        </w:rPr>
      </w:pPr>
      <w:bookmarkStart w:id="3" w:name="_Ref18915"/>
      <w:r>
        <w:t xml:space="preserve">Figure </w:t>
      </w:r>
      <w:r>
        <w:fldChar w:fldCharType="begin"/>
      </w:r>
      <w:r>
        <w:instrText xml:space="preserve"> SEQ Figure \* ARABIC </w:instrText>
      </w:r>
      <w:r>
        <w:fldChar w:fldCharType="separate"/>
      </w:r>
      <w:r>
        <w:t>1</w:t>
      </w:r>
      <w:r>
        <w:fldChar w:fldCharType="end"/>
      </w:r>
      <w:bookmarkEnd w:id="3"/>
      <w:r>
        <w:rPr>
          <w:rFonts w:hint="eastAsia"/>
          <w:lang w:eastAsia="zh-CN"/>
        </w:rPr>
        <w:t xml:space="preserve"> Reusing eIMTA mechanism for single Tx switched uplink </w:t>
      </w:r>
    </w:p>
    <w:p>
      <w:pPr>
        <w:rPr>
          <w:b/>
          <w:bCs/>
          <w:u w:val="single"/>
          <w:lang w:eastAsia="zh-CN"/>
        </w:rPr>
      </w:pPr>
      <w:r>
        <w:rPr>
          <w:rFonts w:hint="eastAsia"/>
          <w:b/>
          <w:bCs/>
          <w:u w:val="single"/>
          <w:lang w:eastAsia="zh-CN"/>
        </w:rPr>
        <w:t>From LTE perspective</w:t>
      </w:r>
    </w:p>
    <w:p>
      <w:pPr>
        <w:rPr>
          <w:lang w:eastAsia="zh-CN"/>
        </w:rPr>
      </w:pPr>
      <w:r>
        <w:rPr>
          <w:rFonts w:hint="eastAsia"/>
          <w:lang w:eastAsia="zh-CN"/>
        </w:rPr>
        <w:t xml:space="preserve">After receiving </w:t>
      </w:r>
      <w:r>
        <w:rPr>
          <w:lang w:eastAsia="zh-CN"/>
        </w:rPr>
        <w:t>the “</w:t>
      </w:r>
      <w:r>
        <w:rPr>
          <w:rFonts w:hint="eastAsia"/>
          <w:i/>
          <w:lang w:eastAsia="zh-CN"/>
        </w:rPr>
        <w:t>subframeAssignment</w:t>
      </w:r>
      <w:r>
        <w:rPr>
          <w:lang w:eastAsia="zh-CN"/>
        </w:rPr>
        <w:t>”</w:t>
      </w:r>
      <w:r>
        <w:rPr>
          <w:rFonts w:hint="eastAsia"/>
          <w:lang w:eastAsia="zh-CN"/>
        </w:rPr>
        <w:t xml:space="preserve"> in LTE SIB1</w:t>
      </w:r>
      <w:r>
        <w:rPr>
          <w:lang w:eastAsia="zh-CN"/>
        </w:rPr>
        <w:t xml:space="preserve"> and the “</w:t>
      </w:r>
      <w:r>
        <w:rPr>
          <w:rFonts w:hint="eastAsia"/>
          <w:i/>
          <w:lang w:eastAsia="zh-CN"/>
        </w:rPr>
        <w:t>eimta-HARQ-ReferenceConfig-r12</w:t>
      </w:r>
      <w:r>
        <w:rPr>
          <w:lang w:eastAsia="zh-CN"/>
        </w:rPr>
        <w:t>”</w:t>
      </w:r>
      <w:r>
        <w:rPr>
          <w:rFonts w:hint="eastAsia"/>
          <w:lang w:eastAsia="zh-CN"/>
        </w:rPr>
        <w:t xml:space="preserve"> in LTE RRC, SF#0, SF#3, SF4, SF#5, SF#8 and SF#9 are marked as </w:t>
      </w:r>
      <w:r>
        <w:rPr>
          <w:lang w:eastAsia="zh-CN"/>
        </w:rPr>
        <w:t>“</w:t>
      </w:r>
      <w:r>
        <w:rPr>
          <w:rFonts w:hint="eastAsia"/>
          <w:lang w:eastAsia="zh-CN"/>
        </w:rPr>
        <w:t>D</w:t>
      </w:r>
      <w:r>
        <w:rPr>
          <w:lang w:eastAsia="zh-CN"/>
        </w:rPr>
        <w:t>”</w:t>
      </w:r>
      <w:r>
        <w:rPr>
          <w:rFonts w:hint="eastAsia"/>
          <w:lang w:eastAsia="zh-CN"/>
        </w:rPr>
        <w:t xml:space="preserve">, SF#2 and SF#6 are marked as </w:t>
      </w:r>
      <w:r>
        <w:rPr>
          <w:lang w:eastAsia="zh-CN"/>
        </w:rPr>
        <w:t>“</w:t>
      </w:r>
      <w:r>
        <w:rPr>
          <w:rFonts w:hint="eastAsia"/>
          <w:lang w:eastAsia="zh-CN"/>
        </w:rPr>
        <w:t>S</w:t>
      </w:r>
      <w:r>
        <w:rPr>
          <w:lang w:eastAsia="zh-CN"/>
        </w:rPr>
        <w:t>”</w:t>
      </w:r>
      <w:r>
        <w:rPr>
          <w:rFonts w:hint="eastAsia"/>
          <w:lang w:eastAsia="zh-CN"/>
        </w:rPr>
        <w:t xml:space="preserve">, SF#2 is marked as </w:t>
      </w:r>
      <w:r>
        <w:rPr>
          <w:lang w:eastAsia="zh-CN"/>
        </w:rPr>
        <w:t>“</w:t>
      </w:r>
      <w:r>
        <w:rPr>
          <w:rFonts w:hint="eastAsia"/>
          <w:lang w:eastAsia="zh-CN"/>
        </w:rPr>
        <w:t>U</w:t>
      </w:r>
      <w:r>
        <w:rPr>
          <w:lang w:eastAsia="zh-CN"/>
        </w:rPr>
        <w:t>”</w:t>
      </w:r>
      <w:r>
        <w:rPr>
          <w:rFonts w:hint="eastAsia"/>
          <w:lang w:eastAsia="zh-CN"/>
        </w:rPr>
        <w:t xml:space="preserve"> and SF#7 is marked as </w:t>
      </w:r>
      <w:r>
        <w:rPr>
          <w:lang w:eastAsia="zh-CN"/>
        </w:rPr>
        <w:t>“</w:t>
      </w:r>
      <w:r>
        <w:rPr>
          <w:rFonts w:hint="eastAsia"/>
          <w:lang w:eastAsia="zh-CN"/>
        </w:rPr>
        <w:t>Flexible</w:t>
      </w:r>
      <w:r>
        <w:rPr>
          <w:lang w:eastAsia="zh-CN"/>
        </w:rPr>
        <w:t>”</w:t>
      </w:r>
      <w:r>
        <w:rPr>
          <w:rFonts w:hint="eastAsia"/>
          <w:lang w:eastAsia="zh-CN"/>
        </w:rPr>
        <w:t>.</w:t>
      </w:r>
    </w:p>
    <w:p>
      <w:pPr>
        <w:rPr>
          <w:lang w:eastAsia="zh-CN"/>
        </w:rPr>
      </w:pPr>
      <w:r>
        <w:rPr>
          <w:rFonts w:hint="eastAsia"/>
          <w:lang w:eastAsia="zh-CN"/>
        </w:rPr>
        <w:t>Since the L1 sig</w:t>
      </w:r>
      <w:r>
        <w:rPr>
          <w:lang w:eastAsia="zh-CN"/>
        </w:rPr>
        <w:t>n</w:t>
      </w:r>
      <w:r>
        <w:rPr>
          <w:rFonts w:hint="eastAsia"/>
          <w:lang w:eastAsia="zh-CN"/>
        </w:rPr>
        <w:t xml:space="preserve">aling </w:t>
      </w:r>
      <w:r>
        <w:t>conveying a valid UL-DL configuration for a radio frame</w:t>
      </w:r>
      <w:r>
        <w:rPr>
          <w:rFonts w:hint="eastAsia"/>
          <w:lang w:eastAsia="zh-CN"/>
        </w:rPr>
        <w:t xml:space="preserve"> is not transmitted, according to the agreements in RAN1#76 </w:t>
      </w:r>
      <w:r>
        <w:rPr>
          <w:lang w:eastAsia="zh-CN"/>
        </w:rPr>
        <w:fldChar w:fldCharType="begin"/>
      </w:r>
      <w:r>
        <w:rPr>
          <w:lang w:eastAsia="zh-CN"/>
        </w:rPr>
        <w:instrText xml:space="preserve"> </w:instrText>
      </w:r>
      <w:r>
        <w:rPr>
          <w:rFonts w:hint="eastAsia"/>
          <w:lang w:eastAsia="zh-CN"/>
        </w:rPr>
        <w:instrText xml:space="preserve">REF _Ref535019874 \r \h</w:instrText>
      </w:r>
      <w:r>
        <w:rPr>
          <w:lang w:eastAsia="zh-CN"/>
        </w:rPr>
        <w:instrText xml:space="preserve"> </w:instrText>
      </w:r>
      <w:r>
        <w:rPr>
          <w:lang w:eastAsia="zh-CN"/>
        </w:rPr>
        <w:fldChar w:fldCharType="separate"/>
      </w:r>
      <w:r>
        <w:rPr>
          <w:lang w:eastAsia="zh-CN"/>
        </w:rPr>
        <w:t>[5]</w:t>
      </w:r>
      <w:r>
        <w:rPr>
          <w:lang w:eastAsia="zh-CN"/>
        </w:rPr>
        <w:fldChar w:fldCharType="end"/>
      </w:r>
      <w:r>
        <w:rPr>
          <w:lang w:eastAsia="zh-CN"/>
        </w:rPr>
        <w:t xml:space="preserve"> </w:t>
      </w:r>
      <w:r>
        <w:rPr>
          <w:rFonts w:hint="eastAsia"/>
          <w:lang w:eastAsia="zh-CN"/>
        </w:rPr>
        <w:t>as shown below, UE monitors the non-DRX DL subframes or special subframes for PDCCH or EPDCCH as indicated by SIB-1 configuration. That</w:t>
      </w:r>
      <w:r>
        <w:rPr>
          <w:lang w:eastAsia="zh-CN"/>
        </w:rPr>
        <w:t>’</w:t>
      </w:r>
      <w:r>
        <w:rPr>
          <w:rFonts w:hint="eastAsia"/>
          <w:lang w:eastAsia="zh-CN"/>
        </w:rPr>
        <w:t>s to say, UE is not required to monitor the flexible subframes, i.e., SF#7 in this example</w:t>
      </w:r>
      <w:r>
        <w:rPr>
          <w:lang w:eastAsia="zh-CN"/>
        </w:rPr>
        <w:t xml:space="preserve"> unless the UE detects L1 signaling conveying UL-DL configuration which marks the flexible subframe as a DL subframe. Therefore, the network can fully control to prevent UE from monitoring the flexible subframes.  If the UE does not support simultaneous transmission and reception but the network indicates UE to monitor the flexible subframes in LTE while scheduling NR UL simultaneously, this is network mis-configuration which is incompatible with UE capability.  It does not seem necessary to specify this as an error case in the spec. </w:t>
      </w:r>
    </w:p>
    <w:tbl>
      <w:tblPr>
        <w:tblStyle w:val="5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0" w:after="0" w:line="280" w:lineRule="atLeast"/>
              <w:rPr>
                <w:rFonts w:hint="eastAsia" w:eastAsia="MS Mincho"/>
                <w:lang w:eastAsia="ja-JP"/>
              </w:rPr>
            </w:pPr>
            <w:r>
              <w:rPr>
                <w:rFonts w:eastAsia="MS Mincho"/>
                <w:highlight w:val="green"/>
                <w:lang w:eastAsia="ja-JP"/>
              </w:rPr>
              <w:t>Agreements:</w:t>
            </w:r>
          </w:p>
          <w:p>
            <w:pPr>
              <w:spacing w:before="0" w:after="0" w:line="280" w:lineRule="atLeast"/>
            </w:pPr>
            <w:r>
              <w:t xml:space="preserve">The following working assumptions are </w:t>
            </w:r>
            <w:r>
              <w:rPr>
                <w:highlight w:val="none"/>
              </w:rPr>
              <w:t>confirmed</w:t>
            </w:r>
            <w:r>
              <w:t>:</w:t>
            </w:r>
          </w:p>
          <w:p>
            <w:pPr>
              <w:numPr>
                <w:ilvl w:val="0"/>
                <w:numId w:val="11"/>
              </w:numPr>
              <w:spacing w:before="0" w:after="0" w:line="280" w:lineRule="atLeast"/>
            </w:pPr>
            <w:r>
              <w:t>The size of DCI that carries reconfiguration bits is aligned to DCI format 1C.</w:t>
            </w:r>
          </w:p>
          <w:p>
            <w:pPr>
              <w:numPr>
                <w:ilvl w:val="0"/>
                <w:numId w:val="11"/>
              </w:numPr>
              <w:spacing w:before="0" w:after="0" w:line="280" w:lineRule="atLeast"/>
            </w:pPr>
            <w:r>
              <w:t xml:space="preserve">If UE does not detect L1 signaling conveying a valid UL-DL configuration for a radio frame, </w:t>
            </w:r>
          </w:p>
          <w:p>
            <w:pPr>
              <w:numPr>
                <w:ilvl w:val="1"/>
                <w:numId w:val="12"/>
              </w:numPr>
              <w:spacing w:before="0" w:after="0" w:line="280" w:lineRule="atLeast"/>
              <w:rPr>
                <w:highlight w:val="none"/>
              </w:rPr>
            </w:pPr>
            <w:r>
              <w:rPr>
                <w:highlight w:val="none"/>
              </w:rPr>
              <w:t xml:space="preserve">UE shall monitor the non-DRX DL subframes or special subframes for PDCCH or EPDCCH as indicated by SIB-1 configuration </w:t>
            </w:r>
          </w:p>
          <w:p>
            <w:pPr>
              <w:numPr>
                <w:ilvl w:val="0"/>
                <w:numId w:val="13"/>
              </w:numPr>
              <w:spacing w:before="0" w:after="0" w:line="280" w:lineRule="atLeast"/>
            </w:pPr>
            <w:r>
              <w:rPr>
                <w:rFonts w:hint="eastAsia"/>
              </w:rPr>
              <w:t>80ms periodicity for the reconfiguration signaling is supported.</w:t>
            </w:r>
            <w:bookmarkStart w:id="11" w:name="_GoBack"/>
            <w:bookmarkEnd w:id="11"/>
          </w:p>
          <w:p>
            <w:pPr>
              <w:spacing w:before="120" w:after="0" w:line="280" w:lineRule="atLeast"/>
              <w:rPr>
                <w:rFonts w:hint="eastAsia"/>
                <w:lang w:eastAsia="zh-CN"/>
              </w:rPr>
            </w:pPr>
          </w:p>
        </w:tc>
      </w:tr>
    </w:tbl>
    <w:p>
      <w:pPr>
        <w:rPr>
          <w:b/>
          <w:bCs/>
          <w:u w:val="single"/>
          <w:lang w:eastAsia="zh-CN"/>
        </w:rPr>
      </w:pPr>
      <w:r>
        <w:rPr>
          <w:rFonts w:hint="eastAsia"/>
          <w:b/>
          <w:bCs/>
          <w:u w:val="single"/>
          <w:lang w:eastAsia="zh-CN"/>
        </w:rPr>
        <w:t>From NR perspective</w:t>
      </w:r>
    </w:p>
    <w:p>
      <w:pPr>
        <w:rPr>
          <w:lang w:eastAsia="zh-CN"/>
        </w:rPr>
      </w:pPr>
      <w:r>
        <w:rPr>
          <w:lang w:eastAsia="zh-CN"/>
        </w:rPr>
        <w:t xml:space="preserve">As depicted in </w:t>
      </w:r>
      <w:r>
        <w:rPr>
          <w:lang w:eastAsia="zh-CN"/>
        </w:rPr>
        <w:fldChar w:fldCharType="begin"/>
      </w:r>
      <w:r>
        <w:rPr>
          <w:lang w:eastAsia="zh-CN"/>
        </w:rPr>
        <w:instrText xml:space="preserve"> REF _Ref18915 \h </w:instrText>
      </w:r>
      <w:r>
        <w:rPr>
          <w:lang w:eastAsia="zh-CN"/>
        </w:rPr>
        <w:fldChar w:fldCharType="separate"/>
      </w:r>
      <w:r>
        <w:t>Figure 1</w:t>
      </w:r>
      <w:r>
        <w:rPr>
          <w:lang w:eastAsia="zh-CN"/>
        </w:rPr>
        <w:fldChar w:fldCharType="end"/>
      </w:r>
      <w:r>
        <w:rPr>
          <w:lang w:eastAsia="zh-CN"/>
        </w:rPr>
        <w:t>, from NR perspective, UE follows the UL/DL configurations indicated by NR SFI and NR RRC. Assuming coordination between LTE and NR, NR should reserve the slots overlapping with S</w:t>
      </w:r>
      <w:r>
        <w:rPr>
          <w:rFonts w:hint="eastAsia"/>
          <w:lang w:eastAsia="zh-CN"/>
        </w:rPr>
        <w:t>F</w:t>
      </w:r>
      <w:r>
        <w:rPr>
          <w:lang w:eastAsia="zh-CN"/>
        </w:rPr>
        <w:t>#7 as U</w:t>
      </w:r>
      <w:r>
        <w:rPr>
          <w:rFonts w:hint="eastAsia"/>
          <w:lang w:eastAsia="zh-CN"/>
        </w:rPr>
        <w:t xml:space="preserve">L and guarantee that no DL or UL transmission is in SF#2. </w:t>
      </w:r>
    </w:p>
    <w:p>
      <w:pPr>
        <w:rPr>
          <w:lang w:eastAsia="zh-CN"/>
        </w:rPr>
      </w:pPr>
      <w:r>
        <w:rPr>
          <w:rFonts w:hint="eastAsia"/>
          <w:lang w:eastAsia="zh-CN"/>
        </w:rPr>
        <w:t>Given coordination between eNB and gNB, the LTE uplink and NR uplink can be totally TDMed by reusing eIMTA mechanism for single Tx switched uplink UE. Thus, this is more like an implementation issue and nothing needs to be specified.</w:t>
      </w:r>
    </w:p>
    <w:p>
      <w:pPr>
        <w:pStyle w:val="138"/>
        <w:rPr>
          <w:lang w:eastAsia="zh-CN"/>
        </w:rPr>
      </w:pPr>
      <w:r>
        <w:rPr>
          <w:rFonts w:hint="eastAsia"/>
          <w:lang w:eastAsia="zh-CN"/>
        </w:rPr>
        <w:t>From RAN1 perspective, applying</w:t>
      </w:r>
      <w:r>
        <w:rPr>
          <w:lang w:eastAsia="zh-CN"/>
        </w:rPr>
        <w:t xml:space="preserve"> the eIMTA mechanism for single Tx switched uplink in EN-DC with LTE-TDD-PCell</w:t>
      </w:r>
      <w:r>
        <w:rPr>
          <w:rFonts w:hint="eastAsia"/>
          <w:lang w:eastAsia="zh-CN"/>
        </w:rPr>
        <w:t xml:space="preserve"> is just an implementation issue, nothing needs to be specified.</w:t>
      </w:r>
    </w:p>
    <w:p>
      <w:pPr>
        <w:pStyle w:val="3"/>
        <w:rPr>
          <w:lang w:eastAsia="zh-CN"/>
        </w:rPr>
      </w:pPr>
      <w:r>
        <w:rPr>
          <w:lang w:eastAsia="zh-CN"/>
        </w:rPr>
        <w:t>Reserving</w:t>
      </w:r>
      <w:r>
        <w:rPr>
          <w:rFonts w:hint="eastAsia"/>
          <w:lang w:eastAsia="zh-CN"/>
        </w:rPr>
        <w:t xml:space="preserve"> GP and UpPTS in LTE special subframes for NR</w:t>
      </w:r>
      <w:r>
        <w:rPr>
          <w:rFonts w:hint="eastAsia"/>
          <w:lang w:val="en-US" w:eastAsia="zh-CN"/>
        </w:rPr>
        <w:t xml:space="preserve"> uplink</w:t>
      </w:r>
    </w:p>
    <w:p>
      <w:pPr>
        <w:pStyle w:val="128"/>
        <w:numPr>
          <w:ilvl w:val="0"/>
          <w:numId w:val="0"/>
        </w:numPr>
        <w:rPr>
          <w:rFonts w:eastAsia="宋体"/>
          <w:b w:val="0"/>
          <w:i w:val="0"/>
          <w:sz w:val="21"/>
          <w:szCs w:val="22"/>
          <w:lang w:eastAsia="zh-CN"/>
        </w:rPr>
      </w:pPr>
      <w:r>
        <w:rPr>
          <w:rFonts w:hint="eastAsia" w:eastAsia="宋体"/>
          <w:b w:val="0"/>
          <w:i w:val="0"/>
          <w:sz w:val="21"/>
          <w:szCs w:val="22"/>
          <w:lang w:eastAsia="zh-CN"/>
        </w:rPr>
        <w:t>In LTE system, the UpPTS in special subframe is only used for SRS and short RACH. By appropriate configuration, eNB can avoid configuring SRS and short RACH in UpPTS in LTE special subframes. Thus, part of (or all) the UpPTS in LTE special subframes in LTE can be semi-statically configured for NR uplink.</w:t>
      </w:r>
    </w:p>
    <w:p>
      <w:pPr>
        <w:pStyle w:val="128"/>
        <w:numPr>
          <w:ilvl w:val="0"/>
          <w:numId w:val="0"/>
        </w:numPr>
        <w:rPr>
          <w:rFonts w:eastAsia="宋体"/>
          <w:b w:val="0"/>
          <w:i w:val="0"/>
          <w:sz w:val="21"/>
          <w:szCs w:val="22"/>
          <w:lang w:eastAsia="zh-CN"/>
        </w:rPr>
      </w:pPr>
      <w:r>
        <w:rPr>
          <w:rFonts w:hint="eastAsia" w:eastAsia="宋体"/>
          <w:b w:val="0"/>
          <w:i w:val="0"/>
          <w:sz w:val="21"/>
          <w:szCs w:val="22"/>
          <w:lang w:eastAsia="zh-CN"/>
        </w:rPr>
        <w:t xml:space="preserve">The GP in LTE special subframes is the guard time from DL to UL. The design of GP in LTE system is large enough with </w:t>
      </w:r>
      <w:r>
        <w:rPr>
          <w:rFonts w:eastAsia="宋体"/>
          <w:b w:val="0"/>
          <w:i w:val="0"/>
          <w:sz w:val="21"/>
          <w:szCs w:val="22"/>
          <w:lang w:eastAsia="zh-CN"/>
        </w:rPr>
        <w:t>much</w:t>
      </w:r>
      <w:r>
        <w:rPr>
          <w:rFonts w:hint="eastAsia" w:eastAsia="宋体"/>
          <w:b w:val="0"/>
          <w:i w:val="0"/>
          <w:sz w:val="21"/>
          <w:szCs w:val="22"/>
          <w:lang w:eastAsia="zh-CN"/>
        </w:rPr>
        <w:t xml:space="preserve"> </w:t>
      </w:r>
      <w:r>
        <w:rPr>
          <w:rFonts w:eastAsia="宋体"/>
          <w:b w:val="0"/>
          <w:i w:val="0"/>
          <w:sz w:val="21"/>
          <w:szCs w:val="22"/>
          <w:lang w:eastAsia="zh-CN"/>
        </w:rPr>
        <w:t>redundancy</w:t>
      </w:r>
      <w:r>
        <w:rPr>
          <w:rFonts w:hint="eastAsia" w:eastAsia="宋体"/>
          <w:b w:val="0"/>
          <w:i w:val="0"/>
          <w:sz w:val="21"/>
          <w:szCs w:val="22"/>
          <w:lang w:eastAsia="zh-CN"/>
        </w:rPr>
        <w:t>. To improve the system efficiency, part of the GP in LTE special subframes can be semi-statically configured for NR uplink.</w:t>
      </w:r>
    </w:p>
    <w:p>
      <w:pPr>
        <w:rPr>
          <w:sz w:val="22"/>
        </w:rPr>
      </w:pPr>
      <w:r>
        <w:rPr>
          <w:rFonts w:hint="eastAsia"/>
          <w:sz w:val="21"/>
          <w:szCs w:val="22"/>
          <w:lang w:eastAsia="zh-CN"/>
        </w:rPr>
        <w:t>Based on the above analysis, from RAN1 perspective, reserving GP and UpPTS in LTE special subframes for NR uplink for single Tx switched uplink UEs is just an implementation issue.</w:t>
      </w:r>
    </w:p>
    <w:p>
      <w:pPr>
        <w:pStyle w:val="138"/>
        <w:rPr>
          <w:lang w:eastAsia="zh-CN"/>
        </w:rPr>
      </w:pPr>
      <w:r>
        <w:rPr>
          <w:rFonts w:hint="eastAsia"/>
          <w:lang w:eastAsia="zh-CN"/>
        </w:rPr>
        <w:t>From RAN1 perspective, reserving GP and UpPTS in LTE special subframes for NR uplink for single Tx switched uplink in EN-DC with LTE-TDD-PCell is just an implementation issue, nothing needs to be specified.</w:t>
      </w:r>
    </w:p>
    <w:p>
      <w:pPr>
        <w:pStyle w:val="3"/>
        <w:rPr>
          <w:szCs w:val="22"/>
          <w:lang w:val="en-US" w:eastAsia="zh-CN"/>
        </w:rPr>
      </w:pPr>
      <w:r>
        <w:rPr>
          <w:rFonts w:hint="eastAsia"/>
          <w:szCs w:val="22"/>
          <w:lang w:val="en-US" w:eastAsia="zh-CN"/>
        </w:rPr>
        <w:t>Summary</w:t>
      </w:r>
    </w:p>
    <w:p>
      <w:pPr>
        <w:pStyle w:val="128"/>
        <w:numPr>
          <w:ilvl w:val="0"/>
          <w:numId w:val="0"/>
        </w:numPr>
        <w:rPr>
          <w:rFonts w:eastAsia="宋体"/>
          <w:b w:val="0"/>
          <w:i w:val="0"/>
          <w:sz w:val="21"/>
          <w:szCs w:val="22"/>
          <w:lang w:eastAsia="zh-CN"/>
        </w:rPr>
      </w:pPr>
      <w:r>
        <w:rPr>
          <w:rFonts w:hint="eastAsia" w:eastAsia="宋体"/>
          <w:b w:val="0"/>
          <w:i w:val="0"/>
          <w:sz w:val="21"/>
          <w:szCs w:val="22"/>
          <w:lang w:eastAsia="zh-CN"/>
        </w:rPr>
        <w:t>Overall, since RAN1 has already specified solutions for single Tx switched uplink in EN-DC with LTE-TDD-PCell and other solutions can be implemented by reusing the current LTE mechanisms with nothing to be specified.</w:t>
      </w:r>
      <w:r>
        <w:rPr>
          <w:rFonts w:eastAsia="宋体"/>
          <w:b w:val="0"/>
          <w:i w:val="0"/>
          <w:sz w:val="21"/>
          <w:szCs w:val="22"/>
          <w:lang w:eastAsia="zh-CN"/>
        </w:rPr>
        <w:t xml:space="preserve"> If there is any strong need in the market, UEs would enable the support of the LTE eIMTA feature.</w:t>
      </w:r>
      <w:r>
        <w:rPr>
          <w:rFonts w:hint="eastAsia" w:eastAsia="宋体"/>
          <w:b w:val="0"/>
          <w:i w:val="0"/>
          <w:sz w:val="21"/>
          <w:szCs w:val="22"/>
          <w:lang w:eastAsia="zh-CN"/>
        </w:rPr>
        <w:t xml:space="preserve"> </w:t>
      </w:r>
      <w:r>
        <w:rPr>
          <w:rFonts w:eastAsia="宋体"/>
          <w:b w:val="0"/>
          <w:i w:val="0"/>
          <w:sz w:val="21"/>
          <w:szCs w:val="22"/>
          <w:lang w:eastAsia="zh-CN"/>
        </w:rPr>
        <w:t xml:space="preserve">At this point, it seems that </w:t>
      </w:r>
      <w:r>
        <w:rPr>
          <w:rFonts w:hint="eastAsia" w:eastAsia="宋体"/>
          <w:b w:val="0"/>
          <w:i w:val="0"/>
          <w:sz w:val="21"/>
          <w:szCs w:val="22"/>
          <w:lang w:eastAsia="zh-CN"/>
        </w:rPr>
        <w:t xml:space="preserve">RAN1 </w:t>
      </w:r>
      <w:r>
        <w:rPr>
          <w:rFonts w:eastAsia="宋体"/>
          <w:b w:val="0"/>
          <w:i w:val="0"/>
          <w:sz w:val="21"/>
          <w:szCs w:val="22"/>
          <w:lang w:eastAsia="zh-CN"/>
        </w:rPr>
        <w:t>does not need</w:t>
      </w:r>
      <w:r>
        <w:rPr>
          <w:rFonts w:hint="eastAsia" w:eastAsia="宋体"/>
          <w:b w:val="0"/>
          <w:i w:val="0"/>
          <w:sz w:val="21"/>
          <w:szCs w:val="22"/>
          <w:lang w:eastAsia="zh-CN"/>
        </w:rPr>
        <w:t xml:space="preserve"> to further enhance single Tx switched uplink solution for EN-DC in Rel-16.</w:t>
      </w:r>
      <w:r>
        <w:rPr>
          <w:rFonts w:eastAsia="宋体"/>
          <w:b w:val="0"/>
          <w:i w:val="0"/>
          <w:sz w:val="21"/>
          <w:szCs w:val="22"/>
          <w:lang w:eastAsia="zh-CN"/>
        </w:rPr>
        <w:t xml:space="preserve">  </w:t>
      </w:r>
    </w:p>
    <w:p>
      <w:pPr>
        <w:pStyle w:val="138"/>
      </w:pPr>
      <w:r>
        <w:rPr>
          <w:rFonts w:hint="eastAsia"/>
        </w:rPr>
        <w:t xml:space="preserve">RAN1 </w:t>
      </w:r>
      <w:r>
        <w:t>does not need to</w:t>
      </w:r>
      <w:r>
        <w:rPr>
          <w:rFonts w:hint="eastAsia"/>
        </w:rPr>
        <w:t xml:space="preserve"> further enhance single Tx switched uplink solution for EN-DC in Rel-16</w:t>
      </w:r>
    </w:p>
    <w:p>
      <w:pPr>
        <w:pStyle w:val="2"/>
      </w:pPr>
      <w:r>
        <w:t>Conclusion</w:t>
      </w:r>
    </w:p>
    <w:p>
      <w:pPr>
        <w:rPr>
          <w:lang w:eastAsia="zh-CN"/>
        </w:rPr>
      </w:pPr>
      <w:r>
        <w:rPr>
          <w:rFonts w:hint="eastAsia"/>
          <w:lang w:eastAsia="zh-CN"/>
        </w:rPr>
        <w:t>To sum up, this contribution first introduce the current status of single Tx switched uplink and then present our analysis on this issue. The following observations and proposals are made, i.e.,</w:t>
      </w:r>
    </w:p>
    <w:p>
      <w:pPr>
        <w:pStyle w:val="138"/>
        <w:numPr>
          <w:ilvl w:val="0"/>
          <w:numId w:val="14"/>
        </w:numPr>
      </w:pPr>
      <w:r>
        <w:rPr>
          <w:rFonts w:hint="eastAsia"/>
        </w:rPr>
        <w:t>RAN1 has already finalized the solutions for single Tx switched uplink for EN-DC with LTE FDD PCell and LTE TDD PCell.</w:t>
      </w:r>
    </w:p>
    <w:p>
      <w:pPr>
        <w:pStyle w:val="138"/>
        <w:numPr>
          <w:ilvl w:val="0"/>
          <w:numId w:val="14"/>
        </w:numPr>
        <w:rPr>
          <w:lang w:eastAsia="zh-CN"/>
        </w:rPr>
      </w:pPr>
      <w:r>
        <w:rPr>
          <w:rFonts w:hint="eastAsia"/>
          <w:lang w:eastAsia="zh-CN"/>
        </w:rPr>
        <w:t>From RAN1 perspective, applying</w:t>
      </w:r>
      <w:r>
        <w:rPr>
          <w:lang w:eastAsia="zh-CN"/>
        </w:rPr>
        <w:t xml:space="preserve"> the eIMTA mechanism for single Tx switched uplink in EN-DC with LTE-TDD-PCell</w:t>
      </w:r>
      <w:r>
        <w:rPr>
          <w:rFonts w:hint="eastAsia"/>
          <w:lang w:eastAsia="zh-CN"/>
        </w:rPr>
        <w:t xml:space="preserve"> is just an implementation issue, nothing needs to be specified.</w:t>
      </w:r>
    </w:p>
    <w:p>
      <w:pPr>
        <w:pStyle w:val="138"/>
        <w:numPr>
          <w:ilvl w:val="0"/>
          <w:numId w:val="14"/>
        </w:numPr>
        <w:rPr>
          <w:lang w:eastAsia="zh-CN"/>
        </w:rPr>
      </w:pPr>
      <w:r>
        <w:rPr>
          <w:rFonts w:hint="eastAsia"/>
          <w:lang w:eastAsia="zh-CN"/>
        </w:rPr>
        <w:t>From RAN1 perspective, reserving GP and UpPTS in LTE special subframes for NR uplink for single Tx switched uplink in EN-DC with LTE-TDD-PCell is just an implementation issue, nothing needs to be specified.</w:t>
      </w:r>
    </w:p>
    <w:p>
      <w:pPr>
        <w:pStyle w:val="138"/>
        <w:numPr>
          <w:ilvl w:val="0"/>
          <w:numId w:val="14"/>
        </w:numPr>
      </w:pPr>
      <w:r>
        <w:rPr>
          <w:rFonts w:hint="eastAsia"/>
        </w:rPr>
        <w:t xml:space="preserve">RAN1 </w:t>
      </w:r>
      <w:r>
        <w:t>does not need to</w:t>
      </w:r>
      <w:r>
        <w:rPr>
          <w:rFonts w:hint="eastAsia"/>
        </w:rPr>
        <w:t xml:space="preserve"> further enhance single Tx switched uplink solution for EN-DC in Rel-16</w:t>
      </w:r>
      <w:r>
        <w:t>.</w:t>
      </w:r>
    </w:p>
    <w:p>
      <w:pPr>
        <w:pStyle w:val="2"/>
        <w:rPr>
          <w:lang w:eastAsia="zh-CN"/>
        </w:rPr>
      </w:pPr>
      <w:r>
        <w:rPr>
          <w:rFonts w:hint="eastAsia"/>
          <w:lang w:eastAsia="zh-CN"/>
        </w:rPr>
        <w:t>R</w:t>
      </w:r>
      <w:r>
        <w:rPr>
          <w:lang w:eastAsia="zh-CN"/>
        </w:rPr>
        <w:t>eference</w:t>
      </w:r>
    </w:p>
    <w:p>
      <w:pPr>
        <w:pStyle w:val="111"/>
        <w:numPr>
          <w:ilvl w:val="0"/>
          <w:numId w:val="15"/>
        </w:numPr>
        <w:ind w:left="0" w:firstLine="0"/>
        <w:rPr>
          <w:lang w:eastAsia="zh-CN"/>
        </w:rPr>
      </w:pPr>
      <w:bookmarkStart w:id="4" w:name="_Ref30038"/>
      <w:bookmarkStart w:id="5" w:name="_Ref534966294"/>
      <w:r>
        <w:rPr>
          <w:rFonts w:hint="eastAsia"/>
          <w:lang w:eastAsia="zh-CN"/>
        </w:rPr>
        <w:t>R1-1807004</w:t>
      </w:r>
      <w:r>
        <w:rPr>
          <w:rFonts w:hint="eastAsia"/>
          <w:lang w:val="en-US" w:eastAsia="zh-CN"/>
        </w:rPr>
        <w:t xml:space="preserve">, </w:t>
      </w:r>
      <w:r>
        <w:rPr>
          <w:lang w:val="en-US" w:eastAsia="zh-CN"/>
        </w:rPr>
        <w:t>“Single Tx Switched UL Support for EN-DC in LTE TDD Band”</w:t>
      </w:r>
      <w:r>
        <w:rPr>
          <w:rFonts w:hint="eastAsia"/>
          <w:lang w:val="en-US" w:eastAsia="zh-CN"/>
        </w:rPr>
        <w:t>, RAN1#93, Busan, Korea, May 21 – 25, 2018</w:t>
      </w:r>
      <w:bookmarkEnd w:id="4"/>
      <w:r>
        <w:rPr>
          <w:lang w:val="en-US" w:eastAsia="zh-CN"/>
        </w:rPr>
        <w:t>.</w:t>
      </w:r>
      <w:bookmarkEnd w:id="5"/>
    </w:p>
    <w:p>
      <w:pPr>
        <w:pStyle w:val="111"/>
        <w:numPr>
          <w:ilvl w:val="0"/>
          <w:numId w:val="15"/>
        </w:numPr>
        <w:ind w:left="0" w:firstLine="0"/>
        <w:rPr>
          <w:lang w:eastAsia="zh-CN"/>
        </w:rPr>
      </w:pPr>
      <w:bookmarkStart w:id="6" w:name="_Ref7394"/>
      <w:bookmarkStart w:id="7" w:name="_Ref534966295"/>
      <w:r>
        <w:rPr>
          <w:rFonts w:hint="eastAsia"/>
          <w:lang w:eastAsia="zh-CN"/>
        </w:rPr>
        <w:t>R1-180728</w:t>
      </w:r>
      <w:r>
        <w:rPr>
          <w:rFonts w:hint="eastAsia"/>
          <w:lang w:val="en-US" w:eastAsia="zh-CN"/>
        </w:rPr>
        <w:t xml:space="preserve">1, </w:t>
      </w:r>
      <w:r>
        <w:rPr>
          <w:lang w:val="en-US" w:eastAsia="zh-CN"/>
        </w:rPr>
        <w:t>“On single Tx transmission timing in TDD LTE-NR DC”</w:t>
      </w:r>
      <w:r>
        <w:rPr>
          <w:rFonts w:hint="eastAsia"/>
          <w:lang w:val="en-US" w:eastAsia="zh-CN"/>
        </w:rPr>
        <w:t>, RAN1#93, Busan, Korea, May 21 – 25, 2018</w:t>
      </w:r>
      <w:bookmarkEnd w:id="6"/>
      <w:r>
        <w:rPr>
          <w:lang w:val="en-US" w:eastAsia="zh-CN"/>
        </w:rPr>
        <w:t>.</w:t>
      </w:r>
      <w:bookmarkEnd w:id="7"/>
    </w:p>
    <w:p>
      <w:pPr>
        <w:pStyle w:val="111"/>
        <w:numPr>
          <w:ilvl w:val="0"/>
          <w:numId w:val="15"/>
        </w:numPr>
        <w:ind w:left="0" w:firstLine="0"/>
        <w:rPr>
          <w:lang w:eastAsia="zh-CN"/>
        </w:rPr>
      </w:pPr>
      <w:bookmarkStart w:id="8" w:name="_Ref13017"/>
      <w:r>
        <w:rPr>
          <w:rFonts w:hint="eastAsia"/>
          <w:lang w:eastAsia="zh-CN"/>
        </w:rPr>
        <w:t>RP-182076</w:t>
      </w:r>
      <w:r>
        <w:rPr>
          <w:rFonts w:hint="eastAsia"/>
          <w:lang w:val="en-US" w:eastAsia="zh-CN"/>
        </w:rPr>
        <w:t xml:space="preserve">, </w:t>
      </w:r>
      <w:r>
        <w:rPr>
          <w:lang w:val="en-US" w:eastAsia="zh-CN"/>
        </w:rPr>
        <w:t>“WID on Multi-RAT Dual-Connectivity and Carrier Aggregation enhancements”</w:t>
      </w:r>
      <w:r>
        <w:rPr>
          <w:rFonts w:hint="eastAsia"/>
          <w:lang w:val="en-US" w:eastAsia="zh-CN"/>
        </w:rPr>
        <w:t>, RAN#81, Gold Coast, Australia, 10 - 13 September 2018</w:t>
      </w:r>
      <w:bookmarkEnd w:id="8"/>
      <w:r>
        <w:rPr>
          <w:lang w:val="en-US" w:eastAsia="zh-CN"/>
        </w:rPr>
        <w:t>.</w:t>
      </w:r>
    </w:p>
    <w:p>
      <w:pPr>
        <w:pStyle w:val="111"/>
        <w:numPr>
          <w:ilvl w:val="0"/>
          <w:numId w:val="15"/>
        </w:numPr>
        <w:ind w:left="0" w:firstLine="0"/>
        <w:rPr>
          <w:lang w:eastAsia="zh-CN"/>
        </w:rPr>
      </w:pPr>
      <w:bookmarkStart w:id="9" w:name="_Ref534966296"/>
      <w:r>
        <w:rPr>
          <w:lang w:eastAsia="zh-CN"/>
        </w:rPr>
        <w:t>RP-182008, “Solutions for single Tx TDM” RAN#81, Gold Coast, Australia, September 10-13, 2018.</w:t>
      </w:r>
      <w:bookmarkEnd w:id="9"/>
    </w:p>
    <w:p>
      <w:pPr>
        <w:pStyle w:val="111"/>
        <w:numPr>
          <w:ilvl w:val="0"/>
          <w:numId w:val="15"/>
        </w:numPr>
        <w:ind w:left="0" w:firstLine="0"/>
        <w:rPr>
          <w:lang w:eastAsia="zh-CN"/>
        </w:rPr>
      </w:pPr>
      <w:bookmarkStart w:id="10" w:name="_Ref535019874"/>
      <w:r>
        <w:rPr>
          <w:rFonts w:hint="eastAsia"/>
          <w:lang w:eastAsia="zh-CN"/>
        </w:rPr>
        <w:t>R1-141730</w:t>
      </w:r>
      <w:r>
        <w:rPr>
          <w:rFonts w:hint="eastAsia"/>
          <w:lang w:val="en-US" w:eastAsia="zh-CN"/>
        </w:rPr>
        <w:t xml:space="preserve">, </w:t>
      </w:r>
      <w:r>
        <w:rPr>
          <w:lang w:val="en-US" w:eastAsia="zh-CN"/>
        </w:rPr>
        <w:t>“Final Report of 3GPP TSG RAN WG1 #76 v1.0.0”</w:t>
      </w:r>
      <w:r>
        <w:rPr>
          <w:rFonts w:hint="eastAsia"/>
          <w:lang w:val="en-US" w:eastAsia="zh-CN"/>
        </w:rPr>
        <w:t xml:space="preserve">, RAN1#76, </w:t>
      </w:r>
      <w:r>
        <w:rPr>
          <w:lang w:val="en-US" w:eastAsia="zh-CN"/>
        </w:rPr>
        <w:t>Prague, Czech Rep., 10–14 February 2014</w:t>
      </w:r>
      <w:r>
        <w:rPr>
          <w:rFonts w:hint="eastAsia"/>
          <w:lang w:val="en-US" w:eastAsia="zh-CN"/>
        </w:rPr>
        <w:t>.</w:t>
      </w:r>
      <w:bookmarkEnd w:id="10"/>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0"/>
      </w:rPr>
      <w:fldChar w:fldCharType="begin"/>
    </w:r>
    <w:r>
      <w:rPr>
        <w:rStyle w:val="50"/>
      </w:rPr>
      <w:instrText xml:space="preserve"> PAGE </w:instrText>
    </w:r>
    <w:r>
      <w:rPr>
        <w:rStyle w:val="50"/>
      </w:rPr>
      <w:fldChar w:fldCharType="separate"/>
    </w:r>
    <w:r>
      <w:rPr>
        <w:rStyle w:val="50"/>
      </w:rPr>
      <w:t>4</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5</w:t>
    </w:r>
    <w:r>
      <w:rPr>
        <w:rStyle w:val="5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0E07423D"/>
    <w:multiLevelType w:val="multilevel"/>
    <w:tmpl w:val="0E0742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89B6987"/>
    <w:multiLevelType w:val="multilevel"/>
    <w:tmpl w:val="289B69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91"/>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6"/>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3"/>
      <w:lvlText w:val="[%1]"/>
      <w:lvlJc w:val="left"/>
      <w:pPr>
        <w:tabs>
          <w:tab w:val="left" w:pos="360"/>
        </w:tabs>
        <w:ind w:left="360" w:hanging="360"/>
      </w:pPr>
    </w:lvl>
  </w:abstractNum>
  <w:abstractNum w:abstractNumId="6">
    <w:nsid w:val="47F24990"/>
    <w:multiLevelType w:val="multilevel"/>
    <w:tmpl w:val="47F24990"/>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4D84007A"/>
    <w:multiLevelType w:val="multilevel"/>
    <w:tmpl w:val="4D84007A"/>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1F003CC"/>
    <w:multiLevelType w:val="multilevel"/>
    <w:tmpl w:val="61F003CC"/>
    <w:lvl w:ilvl="0" w:tentative="0">
      <w:start w:val="1"/>
      <w:numFmt w:val="decimal"/>
      <w:pStyle w:val="135"/>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6C60902"/>
    <w:multiLevelType w:val="multilevel"/>
    <w:tmpl w:val="66C60902"/>
    <w:lvl w:ilvl="0" w:tentative="0">
      <w:start w:val="1"/>
      <w:numFmt w:val="bullet"/>
      <w:pStyle w:val="11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F6B5178"/>
    <w:multiLevelType w:val="multilevel"/>
    <w:tmpl w:val="6F6B5178"/>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1">
    <w:nsid w:val="6FEB5FC7"/>
    <w:multiLevelType w:val="multilevel"/>
    <w:tmpl w:val="6FEB5FC7"/>
    <w:lvl w:ilvl="0" w:tentative="0">
      <w:start w:val="1"/>
      <w:numFmt w:val="decimal"/>
      <w:lvlText w:val="[%1]"/>
      <w:lvlJc w:val="left"/>
      <w:pPr>
        <w:ind w:left="420" w:hanging="420"/>
      </w:pPr>
      <w:rPr>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9C41A82"/>
    <w:multiLevelType w:val="multilevel"/>
    <w:tmpl w:val="79C41A82"/>
    <w:lvl w:ilvl="0" w:tentative="0">
      <w:start w:val="1"/>
      <w:numFmt w:val="decimal"/>
      <w:pStyle w:val="138"/>
      <w:lvlText w:val="Observation %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28"/>
      <w:lvlText w:val="Proposal %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9"/>
  </w:num>
  <w:num w:numId="4">
    <w:abstractNumId w:val="5"/>
  </w:num>
  <w:num w:numId="5">
    <w:abstractNumId w:val="13"/>
  </w:num>
  <w:num w:numId="6">
    <w:abstractNumId w:val="8"/>
  </w:num>
  <w:num w:numId="7">
    <w:abstractNumId w:val="4"/>
  </w:num>
  <w:num w:numId="8">
    <w:abstractNumId w:val="12"/>
  </w:num>
  <w:num w:numId="9">
    <w:abstractNumId w:val="6"/>
  </w:num>
  <w:num w:numId="10">
    <w:abstractNumId w:val="10"/>
  </w:num>
  <w:num w:numId="11">
    <w:abstractNumId w:val="2"/>
  </w:num>
  <w:num w:numId="12">
    <w:abstractNumId w:val="7"/>
  </w:num>
  <w:num w:numId="13">
    <w:abstractNumId w:val="1"/>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BF6"/>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308"/>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00"/>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11A"/>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5"/>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E2"/>
    <w:rsid w:val="00133EBD"/>
    <w:rsid w:val="00134B15"/>
    <w:rsid w:val="00135015"/>
    <w:rsid w:val="00135095"/>
    <w:rsid w:val="00135517"/>
    <w:rsid w:val="00135829"/>
    <w:rsid w:val="00135884"/>
    <w:rsid w:val="001358A7"/>
    <w:rsid w:val="001358F4"/>
    <w:rsid w:val="00135EE5"/>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B02"/>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4D3"/>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9C1"/>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093"/>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F1C"/>
    <w:rsid w:val="0034745C"/>
    <w:rsid w:val="003474CD"/>
    <w:rsid w:val="003479B6"/>
    <w:rsid w:val="0035025F"/>
    <w:rsid w:val="0035041A"/>
    <w:rsid w:val="003505AD"/>
    <w:rsid w:val="00350631"/>
    <w:rsid w:val="00350EE7"/>
    <w:rsid w:val="00351439"/>
    <w:rsid w:val="0035180B"/>
    <w:rsid w:val="00351C98"/>
    <w:rsid w:val="0035216E"/>
    <w:rsid w:val="00352382"/>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722"/>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90E"/>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3D"/>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2D"/>
    <w:rsid w:val="004358F4"/>
    <w:rsid w:val="00435CCF"/>
    <w:rsid w:val="00436696"/>
    <w:rsid w:val="00436A3B"/>
    <w:rsid w:val="00436D7C"/>
    <w:rsid w:val="004371AB"/>
    <w:rsid w:val="00437895"/>
    <w:rsid w:val="00437E77"/>
    <w:rsid w:val="004402A7"/>
    <w:rsid w:val="0044035D"/>
    <w:rsid w:val="00440850"/>
    <w:rsid w:val="00440E36"/>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05F"/>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D13"/>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7A6"/>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07EB6"/>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6D7"/>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C77"/>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4B3"/>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187E"/>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66"/>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2596"/>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F9"/>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5CE"/>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5AC"/>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78"/>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5D8"/>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69B"/>
    <w:rsid w:val="0094376F"/>
    <w:rsid w:val="00944202"/>
    <w:rsid w:val="00944335"/>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5F3"/>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7F8"/>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3EC"/>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5F6"/>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4F1F"/>
    <w:rsid w:val="00B0526F"/>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9D3"/>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87DF5"/>
    <w:rsid w:val="00B90165"/>
    <w:rsid w:val="00B911E8"/>
    <w:rsid w:val="00B91356"/>
    <w:rsid w:val="00B91E9D"/>
    <w:rsid w:val="00B922C4"/>
    <w:rsid w:val="00B92656"/>
    <w:rsid w:val="00B926E0"/>
    <w:rsid w:val="00B929F2"/>
    <w:rsid w:val="00B92AD4"/>
    <w:rsid w:val="00B92BF1"/>
    <w:rsid w:val="00B932E1"/>
    <w:rsid w:val="00B93C36"/>
    <w:rsid w:val="00B93F70"/>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0F1"/>
    <w:rsid w:val="00B974E4"/>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E91"/>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608"/>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5BA"/>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2B"/>
    <w:rsid w:val="00CD5F80"/>
    <w:rsid w:val="00CD61E3"/>
    <w:rsid w:val="00CD6823"/>
    <w:rsid w:val="00CD6D63"/>
    <w:rsid w:val="00CD6E0B"/>
    <w:rsid w:val="00CD6F64"/>
    <w:rsid w:val="00CD787F"/>
    <w:rsid w:val="00CD7A86"/>
    <w:rsid w:val="00CE025E"/>
    <w:rsid w:val="00CE030D"/>
    <w:rsid w:val="00CE03B6"/>
    <w:rsid w:val="00CE05B4"/>
    <w:rsid w:val="00CE05F2"/>
    <w:rsid w:val="00CE0C5E"/>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6AF"/>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6EB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4B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15"/>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AF1"/>
    <w:rsid w:val="00F91CA2"/>
    <w:rsid w:val="00F91DAC"/>
    <w:rsid w:val="00F92174"/>
    <w:rsid w:val="00F921D8"/>
    <w:rsid w:val="00F923DB"/>
    <w:rsid w:val="00F92725"/>
    <w:rsid w:val="00F92A1A"/>
    <w:rsid w:val="00F92F50"/>
    <w:rsid w:val="00F9357A"/>
    <w:rsid w:val="00F9360D"/>
    <w:rsid w:val="00F939E7"/>
    <w:rsid w:val="00F93A3D"/>
    <w:rsid w:val="00F93A5F"/>
    <w:rsid w:val="00F94003"/>
    <w:rsid w:val="00F94382"/>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A2B"/>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A75"/>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4BA0B44"/>
    <w:rsid w:val="06626AE3"/>
    <w:rsid w:val="067D4C1C"/>
    <w:rsid w:val="08C322BD"/>
    <w:rsid w:val="0AFC60B7"/>
    <w:rsid w:val="0BAD7041"/>
    <w:rsid w:val="0D132BA9"/>
    <w:rsid w:val="0D660AC2"/>
    <w:rsid w:val="12A472D8"/>
    <w:rsid w:val="12FE321B"/>
    <w:rsid w:val="141F2191"/>
    <w:rsid w:val="1575AEB2"/>
    <w:rsid w:val="1702D3F2"/>
    <w:rsid w:val="19AF17AC"/>
    <w:rsid w:val="1BF6772C"/>
    <w:rsid w:val="1C766428"/>
    <w:rsid w:val="1DD50930"/>
    <w:rsid w:val="204E71DC"/>
    <w:rsid w:val="20910CB1"/>
    <w:rsid w:val="20CD42FE"/>
    <w:rsid w:val="23680C07"/>
    <w:rsid w:val="239E142D"/>
    <w:rsid w:val="247247A7"/>
    <w:rsid w:val="262F438C"/>
    <w:rsid w:val="26454A02"/>
    <w:rsid w:val="268F2EAB"/>
    <w:rsid w:val="28B07E55"/>
    <w:rsid w:val="2D376513"/>
    <w:rsid w:val="2DC863F1"/>
    <w:rsid w:val="2DC86925"/>
    <w:rsid w:val="359455FE"/>
    <w:rsid w:val="375C57D7"/>
    <w:rsid w:val="3AB31D0C"/>
    <w:rsid w:val="4242619A"/>
    <w:rsid w:val="42B20782"/>
    <w:rsid w:val="496938E0"/>
    <w:rsid w:val="4EAC0AFF"/>
    <w:rsid w:val="54FB6958"/>
    <w:rsid w:val="57EF6871"/>
    <w:rsid w:val="58240039"/>
    <w:rsid w:val="595A121E"/>
    <w:rsid w:val="5AF422E5"/>
    <w:rsid w:val="5F631FA8"/>
    <w:rsid w:val="687F6221"/>
    <w:rsid w:val="6A782EAA"/>
    <w:rsid w:val="724C34C2"/>
    <w:rsid w:val="74000A47"/>
    <w:rsid w:val="74885606"/>
    <w:rsid w:val="763A080C"/>
    <w:rsid w:val="776F4F23"/>
    <w:rsid w:val="78156E78"/>
    <w:rsid w:val="783B620A"/>
    <w:rsid w:val="7931734A"/>
    <w:rsid w:val="7AA370C1"/>
    <w:rsid w:val="7ADB38D4"/>
    <w:rsid w:val="7DD26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2"/>
    <w:qFormat/>
    <w:uiPriority w:val="0"/>
    <w:pPr>
      <w:numPr>
        <w:ilvl w:val="1"/>
      </w:numPr>
      <w:pBdr>
        <w:top w:val="none" w:color="auto" w:sz="0" w:space="0"/>
      </w:pBdr>
      <w:spacing w:before="180"/>
      <w:outlineLvl w:val="1"/>
    </w:pPr>
    <w:rPr>
      <w:sz w:val="32"/>
    </w:rPr>
  </w:style>
  <w:style w:type="paragraph" w:styleId="4">
    <w:name w:val="heading 3"/>
    <w:basedOn w:val="3"/>
    <w:next w:val="1"/>
    <w:link w:val="103"/>
    <w:qFormat/>
    <w:uiPriority w:val="0"/>
    <w:pPr>
      <w:numPr>
        <w:ilvl w:val="2"/>
      </w:numPr>
      <w:spacing w:before="120"/>
      <w:outlineLvl w:val="2"/>
    </w:pPr>
    <w:rPr>
      <w:sz w:val="28"/>
    </w:rPr>
  </w:style>
  <w:style w:type="paragraph" w:styleId="5">
    <w:name w:val="heading 4"/>
    <w:basedOn w:val="4"/>
    <w:next w:val="1"/>
    <w:link w:val="104"/>
    <w:qFormat/>
    <w:uiPriority w:val="0"/>
    <w:pPr>
      <w:numPr>
        <w:ilvl w:val="3"/>
      </w:numPr>
      <w:outlineLvl w:val="3"/>
    </w:pPr>
    <w:rPr>
      <w:sz w:val="24"/>
    </w:rPr>
  </w:style>
  <w:style w:type="paragraph" w:styleId="6">
    <w:name w:val="heading 5"/>
    <w:basedOn w:val="5"/>
    <w:next w:val="1"/>
    <w:link w:val="105"/>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9">
    <w:name w:val="Default Paragraph Font"/>
    <w:semiHidden/>
    <w:unhideWhenUsed/>
    <w:uiPriority w:val="1"/>
  </w:style>
  <w:style w:type="table" w:default="1" w:styleId="55">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5"/>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7"/>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5"/>
    <w:qFormat/>
    <w:uiPriority w:val="0"/>
    <w:pPr>
      <w:spacing w:after="120"/>
    </w:pPr>
    <w:rPr>
      <w:rFonts w:ascii="Times" w:hAnsi="Times"/>
      <w:szCs w:val="24"/>
    </w:rPr>
  </w:style>
  <w:style w:type="paragraph" w:styleId="34">
    <w:name w:val="List Bullet 5"/>
    <w:basedOn w:val="26"/>
    <w:qFormat/>
    <w:uiPriority w:val="0"/>
    <w:pPr>
      <w:ind w:left="1702"/>
    </w:pPr>
  </w:style>
  <w:style w:type="paragraph" w:styleId="35">
    <w:name w:val="toc 8"/>
    <w:basedOn w:val="23"/>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4"/>
    <w:qFormat/>
    <w:uiPriority w:val="99"/>
    <w:pPr>
      <w:jc w:val="center"/>
    </w:pPr>
    <w:rPr>
      <w:i/>
    </w:rPr>
  </w:style>
  <w:style w:type="paragraph" w:styleId="38">
    <w:name w:val="header"/>
    <w:link w:val="14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3"/>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page number"/>
    <w:basedOn w:val="49"/>
    <w:qFormat/>
    <w:uiPriority w:val="0"/>
  </w:style>
  <w:style w:type="character" w:styleId="51">
    <w:name w:val="FollowedHyperlink"/>
    <w:basedOn w:val="49"/>
    <w:semiHidden/>
    <w:unhideWhenUsed/>
    <w:qFormat/>
    <w:uiPriority w:val="0"/>
    <w:rPr>
      <w:color w:val="954F72" w:themeColor="followedHyperlink"/>
      <w:u w:val="single"/>
      <w14:textFill>
        <w14:solidFill>
          <w14:schemeClr w14:val="folHlink"/>
        </w14:solidFill>
      </w14:textFill>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table" w:styleId="56">
    <w:name w:val="Table Grid"/>
    <w:basedOn w:val="55"/>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9">
    <w:name w:val="TT"/>
    <w:basedOn w:val="2"/>
    <w:next w:val="1"/>
    <w:qFormat/>
    <w:uiPriority w:val="0"/>
    <w:pPr>
      <w:outlineLvl w:val="9"/>
    </w:pPr>
  </w:style>
  <w:style w:type="paragraph" w:customStyle="1" w:styleId="60">
    <w:name w:val="TAH"/>
    <w:basedOn w:val="61"/>
    <w:qFormat/>
    <w:uiPriority w:val="0"/>
    <w:rPr>
      <w:b/>
    </w:rPr>
  </w:style>
  <w:style w:type="paragraph" w:customStyle="1" w:styleId="61">
    <w:name w:val="TAC"/>
    <w:basedOn w:val="62"/>
    <w:link w:val="120"/>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link w:val="121"/>
    <w:qFormat/>
    <w:uiPriority w:val="0"/>
    <w:pPr>
      <w:keepNext/>
      <w:keepLines/>
      <w:spacing w:before="60"/>
      <w:jc w:val="center"/>
    </w:pPr>
    <w:rPr>
      <w:rFonts w:ascii="Arial" w:hAnsi="Arial"/>
      <w:b/>
    </w:rPr>
  </w:style>
  <w:style w:type="paragraph" w:customStyle="1" w:styleId="65">
    <w:name w:val="NO"/>
    <w:basedOn w:val="1"/>
    <w:link w:val="13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Editor's Note"/>
    <w:basedOn w:val="65"/>
    <w:qFormat/>
    <w:uiPriority w:val="0"/>
    <w:rPr>
      <w:color w:val="FF0000"/>
    </w:rPr>
  </w:style>
  <w:style w:type="paragraph" w:customStyle="1" w:styleId="84">
    <w:name w:val="B1"/>
    <w:basedOn w:val="14"/>
    <w:link w:val="131"/>
    <w:qFormat/>
    <w:uiPriority w:val="0"/>
  </w:style>
  <w:style w:type="paragraph" w:customStyle="1" w:styleId="85">
    <w:name w:val="B2"/>
    <w:basedOn w:val="13"/>
    <w:link w:val="132"/>
    <w:qFormat/>
    <w:uiPriority w:val="0"/>
  </w:style>
  <w:style w:type="paragraph" w:customStyle="1" w:styleId="86">
    <w:name w:val="B3"/>
    <w:basedOn w:val="12"/>
    <w:qFormat/>
    <w:uiPriority w:val="0"/>
  </w:style>
  <w:style w:type="paragraph" w:customStyle="1" w:styleId="87">
    <w:name w:val="B4"/>
    <w:basedOn w:val="42"/>
    <w:qFormat/>
    <w:uiPriority w:val="0"/>
  </w:style>
  <w:style w:type="paragraph" w:customStyle="1" w:styleId="88">
    <w:name w:val="B5"/>
    <w:basedOn w:val="41"/>
    <w:qFormat/>
    <w:uiPriority w:val="0"/>
  </w:style>
  <w:style w:type="paragraph" w:customStyle="1" w:styleId="89">
    <w:name w:val="ZTD"/>
    <w:basedOn w:val="77"/>
    <w:qFormat/>
    <w:uiPriority w:val="0"/>
    <w:pPr>
      <w:framePr w:hRule="auto" w:y="852"/>
    </w:pPr>
    <w:rPr>
      <w:i w:val="0"/>
      <w:sz w:val="40"/>
    </w:rPr>
  </w:style>
  <w:style w:type="character" w:customStyle="1" w:styleId="90">
    <w:name w:val="MTEquationSection"/>
    <w:qFormat/>
    <w:uiPriority w:val="0"/>
    <w:rPr>
      <w:rFonts w:ascii="Arial" w:hAnsi="Arial"/>
      <w:color w:val="FF0000"/>
      <w:sz w:val="24"/>
    </w:rPr>
  </w:style>
  <w:style w:type="paragraph" w:customStyle="1" w:styleId="91">
    <w:name w:val="Bulleted o 1"/>
    <w:basedOn w:val="1"/>
    <w:qFormat/>
    <w:uiPriority w:val="0"/>
    <w:pPr>
      <w:numPr>
        <w:ilvl w:val="0"/>
        <w:numId w:val="2"/>
      </w:numPr>
    </w:pPr>
  </w:style>
  <w:style w:type="paragraph" w:customStyle="1" w:styleId="92">
    <w:name w:val="text"/>
    <w:basedOn w:val="1"/>
    <w:qFormat/>
    <w:uiPriority w:val="0"/>
    <w:pPr>
      <w:spacing w:after="240"/>
    </w:pPr>
    <w:rPr>
      <w:sz w:val="24"/>
      <w:lang w:eastAsia="zh-CN"/>
    </w:rPr>
  </w:style>
  <w:style w:type="paragraph" w:customStyle="1" w:styleId="93">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4">
    <w:name w:val="00 BodyText"/>
    <w:basedOn w:val="1"/>
    <w:qFormat/>
    <w:uiPriority w:val="0"/>
    <w:pPr>
      <w:spacing w:after="220"/>
    </w:pPr>
    <w:rPr>
      <w:rFonts w:ascii="Arial" w:hAnsi="Arial"/>
      <w:sz w:val="22"/>
    </w:rPr>
  </w:style>
  <w:style w:type="paragraph" w:customStyle="1" w:styleId="95">
    <w:name w:val="11 BodyText"/>
    <w:basedOn w:val="1"/>
    <w:qFormat/>
    <w:uiPriority w:val="0"/>
    <w:pPr>
      <w:spacing w:after="220"/>
      <w:ind w:left="1298"/>
    </w:pPr>
    <w:rPr>
      <w:rFonts w:ascii="Arial" w:hAnsi="Arial"/>
      <w:sz w:val="22"/>
    </w:rPr>
  </w:style>
  <w:style w:type="paragraph" w:customStyle="1" w:styleId="96">
    <w:name w:val="table"/>
    <w:basedOn w:val="92"/>
    <w:next w:val="92"/>
    <w:qFormat/>
    <w:uiPriority w:val="0"/>
    <w:pPr>
      <w:spacing w:after="0"/>
      <w:jc w:val="center"/>
    </w:pPr>
    <w:rPr>
      <w:sz w:val="20"/>
    </w:rPr>
  </w:style>
  <w:style w:type="paragraph" w:customStyle="1" w:styleId="97">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98">
    <w:name w:val="Heading 1 Char"/>
    <w:qFormat/>
    <w:uiPriority w:val="0"/>
    <w:rPr>
      <w:rFonts w:ascii="Arial" w:hAnsi="Arial"/>
      <w:sz w:val="36"/>
      <w:lang w:val="en-GB" w:eastAsia="en-US" w:bidi="ar-SA"/>
    </w:rPr>
  </w:style>
  <w:style w:type="paragraph" w:customStyle="1" w:styleId="99">
    <w:name w:val="body"/>
    <w:basedOn w:val="1"/>
    <w:qFormat/>
    <w:uiPriority w:val="0"/>
    <w:pPr>
      <w:tabs>
        <w:tab w:val="left" w:pos="2160"/>
      </w:tabs>
      <w:spacing w:before="120" w:after="120" w:line="280" w:lineRule="atLeast"/>
    </w:pPr>
    <w:rPr>
      <w:rFonts w:ascii="New York" w:hAnsi="New York"/>
      <w:sz w:val="24"/>
    </w:rPr>
  </w:style>
  <w:style w:type="paragraph" w:customStyle="1" w:styleId="100">
    <w:name w:val="CR Cover Page"/>
    <w:qFormat/>
    <w:uiPriority w:val="0"/>
    <w:pPr>
      <w:spacing w:after="120"/>
    </w:pPr>
    <w:rPr>
      <w:rFonts w:ascii="Arial" w:hAnsi="Arial" w:eastAsia="MS Mincho" w:cs="Times New Roman"/>
      <w:lang w:val="en-GB" w:eastAsia="en-US" w:bidi="ar-SA"/>
    </w:rPr>
  </w:style>
  <w:style w:type="character" w:customStyle="1" w:styleId="101">
    <w:name w:val="标题 1 Char"/>
    <w:link w:val="2"/>
    <w:qFormat/>
    <w:uiPriority w:val="0"/>
    <w:rPr>
      <w:rFonts w:ascii="Arial" w:hAnsi="Arial"/>
      <w:sz w:val="36"/>
      <w:lang w:val="en-GB" w:eastAsia="en-US"/>
    </w:rPr>
  </w:style>
  <w:style w:type="character" w:customStyle="1" w:styleId="102">
    <w:name w:val="标题 2 Char"/>
    <w:link w:val="3"/>
    <w:qFormat/>
    <w:uiPriority w:val="0"/>
    <w:rPr>
      <w:rFonts w:ascii="Arial" w:hAnsi="Arial"/>
      <w:sz w:val="32"/>
      <w:lang w:val="en-GB" w:eastAsia="en-US"/>
    </w:rPr>
  </w:style>
  <w:style w:type="character" w:customStyle="1" w:styleId="103">
    <w:name w:val="标题 3 Char"/>
    <w:link w:val="4"/>
    <w:qFormat/>
    <w:uiPriority w:val="0"/>
    <w:rPr>
      <w:rFonts w:ascii="Arial" w:hAnsi="Arial"/>
      <w:sz w:val="28"/>
      <w:lang w:val="en-GB" w:eastAsia="en-US"/>
    </w:rPr>
  </w:style>
  <w:style w:type="character" w:customStyle="1" w:styleId="104">
    <w:name w:val="标题 4 Char"/>
    <w:link w:val="5"/>
    <w:qFormat/>
    <w:uiPriority w:val="0"/>
    <w:rPr>
      <w:rFonts w:ascii="Arial" w:hAnsi="Arial"/>
      <w:sz w:val="24"/>
      <w:lang w:val="en-GB" w:eastAsia="en-US"/>
    </w:rPr>
  </w:style>
  <w:style w:type="character" w:customStyle="1" w:styleId="105">
    <w:name w:val="标题 5 Char"/>
    <w:link w:val="6"/>
    <w:qFormat/>
    <w:uiPriority w:val="0"/>
    <w:rPr>
      <w:rFonts w:ascii="Arial" w:hAnsi="Arial"/>
      <w:sz w:val="22"/>
      <w:lang w:val="en-GB" w:eastAsia="en-US"/>
    </w:rPr>
  </w:style>
  <w:style w:type="character" w:customStyle="1" w:styleId="106">
    <w:name w:val="Char Char3"/>
    <w:qFormat/>
    <w:uiPriority w:val="0"/>
    <w:rPr>
      <w:rFonts w:ascii="Arial" w:hAnsi="Arial"/>
      <w:sz w:val="36"/>
      <w:lang w:val="en-GB" w:eastAsia="en-US" w:bidi="ar-SA"/>
    </w:rPr>
  </w:style>
  <w:style w:type="character" w:customStyle="1" w:styleId="107">
    <w:name w:val="Char Char2"/>
    <w:qFormat/>
    <w:uiPriority w:val="0"/>
    <w:rPr>
      <w:rFonts w:ascii="Arial" w:hAnsi="Arial"/>
      <w:sz w:val="32"/>
      <w:lang w:val="en-GB" w:eastAsia="en-US" w:bidi="ar-SA"/>
    </w:rPr>
  </w:style>
  <w:style w:type="character" w:customStyle="1" w:styleId="108">
    <w:name w:val="Char Char1"/>
    <w:qFormat/>
    <w:uiPriority w:val="0"/>
    <w:rPr>
      <w:rFonts w:ascii="Arial" w:hAnsi="Arial"/>
      <w:sz w:val="28"/>
      <w:lang w:val="en-GB" w:eastAsia="en-US" w:bidi="ar-SA"/>
    </w:rPr>
  </w:style>
  <w:style w:type="character" w:customStyle="1" w:styleId="109">
    <w:name w:val="h4 Char Char"/>
    <w:qFormat/>
    <w:uiPriority w:val="0"/>
    <w:rPr>
      <w:rFonts w:ascii="Arial" w:hAnsi="Arial"/>
      <w:sz w:val="24"/>
      <w:lang w:val="en-GB" w:eastAsia="en-US" w:bidi="ar-SA"/>
    </w:rPr>
  </w:style>
  <w:style w:type="character" w:customStyle="1" w:styleId="110">
    <w:name w:val="Char Char"/>
    <w:qFormat/>
    <w:uiPriority w:val="0"/>
    <w:rPr>
      <w:rFonts w:ascii="Arial" w:hAnsi="Arial"/>
      <w:sz w:val="22"/>
      <w:lang w:val="en-GB" w:eastAsia="en-US" w:bidi="ar-SA"/>
    </w:rPr>
  </w:style>
  <w:style w:type="paragraph" w:styleId="111">
    <w:name w:val="List Paragraph"/>
    <w:basedOn w:val="1"/>
    <w:link w:val="122"/>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2">
    <w:name w:val="Reference"/>
    <w:basedOn w:val="66"/>
    <w:qFormat/>
    <w:uiPriority w:val="0"/>
    <w:pPr>
      <w:tabs>
        <w:tab w:val="left" w:pos="360"/>
      </w:tabs>
      <w:suppressAutoHyphens/>
      <w:autoSpaceDN/>
      <w:adjustRightInd/>
      <w:ind w:left="0" w:firstLine="0"/>
    </w:pPr>
    <w:rPr>
      <w:lang w:eastAsia="ar-SA"/>
    </w:rPr>
  </w:style>
  <w:style w:type="character" w:customStyle="1" w:styleId="113">
    <w:name w:val="副标题 Char"/>
    <w:link w:val="39"/>
    <w:qFormat/>
    <w:uiPriority w:val="0"/>
    <w:rPr>
      <w:rFonts w:ascii="Cambria" w:hAnsi="Cambria" w:eastAsia="Times New Roman" w:cs="Times New Roman"/>
      <w:sz w:val="24"/>
      <w:szCs w:val="24"/>
      <w:lang w:val="en-GB"/>
    </w:rPr>
  </w:style>
  <w:style w:type="paragraph" w:customStyle="1" w:styleId="114">
    <w:name w:val="修订1"/>
    <w:hidden/>
    <w:semiHidden/>
    <w:qFormat/>
    <w:uiPriority w:val="99"/>
    <w:rPr>
      <w:rFonts w:ascii="Times New Roman" w:hAnsi="Times New Roman" w:eastAsia="宋体" w:cs="Times New Roman"/>
      <w:lang w:val="en-GB" w:eastAsia="en-US" w:bidi="ar-SA"/>
    </w:rPr>
  </w:style>
  <w:style w:type="character" w:customStyle="1" w:styleId="115">
    <w:name w:val="批注文字 Char"/>
    <w:link w:val="16"/>
    <w:qFormat/>
    <w:uiPriority w:val="0"/>
    <w:rPr>
      <w:rFonts w:ascii="Times New Roman" w:hAnsi="Times New Roman"/>
      <w:lang w:val="en-GB"/>
    </w:rPr>
  </w:style>
  <w:style w:type="paragraph" w:customStyle="1" w:styleId="116">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1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18">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19">
    <w:name w:val="Placeholder Text"/>
    <w:semiHidden/>
    <w:qFormat/>
    <w:uiPriority w:val="99"/>
    <w:rPr>
      <w:color w:val="808080"/>
    </w:rPr>
  </w:style>
  <w:style w:type="character" w:customStyle="1" w:styleId="120">
    <w:name w:val="TAC Char"/>
    <w:link w:val="61"/>
    <w:qFormat/>
    <w:uiPriority w:val="0"/>
    <w:rPr>
      <w:rFonts w:ascii="Arial" w:hAnsi="Arial"/>
      <w:sz w:val="18"/>
      <w:lang w:val="en-GB" w:eastAsia="en-US"/>
    </w:rPr>
  </w:style>
  <w:style w:type="character" w:customStyle="1" w:styleId="121">
    <w:name w:val="TH Char"/>
    <w:link w:val="64"/>
    <w:qFormat/>
    <w:uiPriority w:val="0"/>
    <w:rPr>
      <w:rFonts w:ascii="Arial" w:hAnsi="Arial"/>
      <w:b/>
      <w:lang w:val="en-GB" w:eastAsia="en-US"/>
    </w:rPr>
  </w:style>
  <w:style w:type="character" w:customStyle="1" w:styleId="122">
    <w:name w:val="列出段落 Char"/>
    <w:link w:val="111"/>
    <w:qFormat/>
    <w:locked/>
    <w:uiPriority w:val="34"/>
    <w:rPr>
      <w:rFonts w:ascii="Times New Roman" w:hAnsi="Times New Roman" w:eastAsia="Calibri"/>
      <w:szCs w:val="22"/>
      <w:lang w:val="en-GB" w:eastAsia="en-US"/>
    </w:rPr>
  </w:style>
  <w:style w:type="paragraph" w:customStyle="1" w:styleId="123">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4">
    <w:name w:val="页脚 Char"/>
    <w:basedOn w:val="49"/>
    <w:link w:val="37"/>
    <w:qFormat/>
    <w:uiPriority w:val="99"/>
    <w:rPr>
      <w:rFonts w:ascii="Arial" w:hAnsi="Arial"/>
      <w:b/>
      <w:i/>
      <w:sz w:val="18"/>
      <w:lang w:eastAsia="en-US"/>
    </w:rPr>
  </w:style>
  <w:style w:type="character" w:customStyle="1" w:styleId="125">
    <w:name w:val="正文文本 Char"/>
    <w:basedOn w:val="49"/>
    <w:link w:val="33"/>
    <w:qFormat/>
    <w:uiPriority w:val="0"/>
    <w:rPr>
      <w:rFonts w:ascii="Times" w:hAnsi="Times"/>
      <w:szCs w:val="24"/>
      <w:lang w:eastAsia="en-US"/>
    </w:rPr>
  </w:style>
  <w:style w:type="table" w:customStyle="1" w:styleId="126">
    <w:name w:val="网格表 4 - 着色 11"/>
    <w:basedOn w:val="55"/>
    <w:qFormat/>
    <w:uiPriority w:val="49"/>
    <w:rPr>
      <w:rFonts w:asciiTheme="minorHAnsi" w:hAnsiTheme="minorHAnsi" w:eastAsiaTheme="minorHAnsi" w:cstheme="minorBid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27">
    <w:name w:val="题注 Char"/>
    <w:link w:val="30"/>
    <w:qFormat/>
    <w:uiPriority w:val="99"/>
    <w:rPr>
      <w:rFonts w:ascii="Times New Roman" w:hAnsi="Times New Roman"/>
      <w:b/>
      <w:bCs/>
      <w:lang w:eastAsia="en-US"/>
    </w:rPr>
  </w:style>
  <w:style w:type="paragraph" w:customStyle="1" w:styleId="128">
    <w:name w:val="Proposal"/>
    <w:basedOn w:val="1"/>
    <w:link w:val="129"/>
    <w:qFormat/>
    <w:uiPriority w:val="0"/>
    <w:pPr>
      <w:numPr>
        <w:ilvl w:val="0"/>
        <w:numId w:val="5"/>
      </w:numPr>
      <w:tabs>
        <w:tab w:val="left" w:pos="1152"/>
      </w:tabs>
      <w:spacing w:before="240" w:after="240"/>
      <w:ind w:left="0" w:firstLine="0"/>
    </w:pPr>
    <w:rPr>
      <w:rFonts w:eastAsia="MS Mincho"/>
      <w:b/>
      <w:i/>
      <w:lang w:eastAsia="ja-JP"/>
    </w:rPr>
  </w:style>
  <w:style w:type="character" w:customStyle="1" w:styleId="129">
    <w:name w:val="Proposal Char"/>
    <w:basedOn w:val="49"/>
    <w:link w:val="128"/>
    <w:qFormat/>
    <w:uiPriority w:val="0"/>
    <w:rPr>
      <w:rFonts w:ascii="Times New Roman" w:hAnsi="Times New Roman" w:eastAsia="MS Mincho" w:cs="Times New Roman"/>
      <w:b/>
      <w:i/>
      <w:lang w:eastAsia="ja-JP"/>
    </w:rPr>
  </w:style>
  <w:style w:type="character" w:customStyle="1" w:styleId="130">
    <w:name w:val="NO Char"/>
    <w:basedOn w:val="49"/>
    <w:link w:val="65"/>
    <w:qFormat/>
    <w:locked/>
    <w:uiPriority w:val="0"/>
    <w:rPr>
      <w:rFonts w:ascii="Times New Roman" w:hAnsi="Times New Roman"/>
      <w:lang w:eastAsia="en-US"/>
    </w:rPr>
  </w:style>
  <w:style w:type="character" w:customStyle="1" w:styleId="131">
    <w:name w:val="B1 Char1"/>
    <w:basedOn w:val="49"/>
    <w:link w:val="84"/>
    <w:qFormat/>
    <w:locked/>
    <w:uiPriority w:val="0"/>
    <w:rPr>
      <w:rFonts w:ascii="Times New Roman" w:hAnsi="Times New Roman"/>
      <w:lang w:eastAsia="en-US"/>
    </w:rPr>
  </w:style>
  <w:style w:type="character" w:customStyle="1" w:styleId="132">
    <w:name w:val="B2 Char"/>
    <w:basedOn w:val="49"/>
    <w:link w:val="85"/>
    <w:qFormat/>
    <w:locked/>
    <w:uiPriority w:val="0"/>
    <w:rPr>
      <w:rFonts w:ascii="Times New Roman" w:hAnsi="Times New Roman"/>
      <w:lang w:eastAsia="en-US"/>
    </w:rPr>
  </w:style>
  <w:style w:type="character" w:customStyle="1" w:styleId="133">
    <w:name w:val="明显强调1"/>
    <w:basedOn w:val="49"/>
    <w:qFormat/>
    <w:uiPriority w:val="21"/>
    <w:rPr>
      <w:i/>
      <w:iCs/>
      <w:color w:val="5B9BD5" w:themeColor="accent1"/>
      <w14:textFill>
        <w14:solidFill>
          <w14:schemeClr w14:val="accent1"/>
        </w14:solidFill>
      </w14:textFill>
    </w:rPr>
  </w:style>
  <w:style w:type="character" w:customStyle="1" w:styleId="134">
    <w:name w:val="不明显强调1"/>
    <w:basedOn w:val="49"/>
    <w:qFormat/>
    <w:uiPriority w:val="19"/>
    <w:rPr>
      <w:i/>
      <w:iCs/>
      <w:color w:val="404040" w:themeColor="text1" w:themeTint="BF"/>
      <w14:textFill>
        <w14:solidFill>
          <w14:schemeClr w14:val="tx1">
            <w14:lumMod w14:val="75000"/>
            <w14:lumOff w14:val="25000"/>
          </w14:schemeClr>
        </w14:solidFill>
      </w14:textFill>
    </w:rPr>
  </w:style>
  <w:style w:type="paragraph" w:customStyle="1" w:styleId="135">
    <w:name w:val="Figure"/>
    <w:basedOn w:val="1"/>
    <w:link w:val="137"/>
    <w:qFormat/>
    <w:uiPriority w:val="0"/>
    <w:pPr>
      <w:numPr>
        <w:ilvl w:val="0"/>
        <w:numId w:val="6"/>
      </w:numPr>
      <w:jc w:val="center"/>
    </w:pPr>
  </w:style>
  <w:style w:type="paragraph" w:customStyle="1" w:styleId="136">
    <w:name w:val="Table"/>
    <w:basedOn w:val="135"/>
    <w:link w:val="139"/>
    <w:qFormat/>
    <w:uiPriority w:val="0"/>
    <w:pPr>
      <w:numPr>
        <w:numId w:val="7"/>
      </w:numPr>
    </w:pPr>
  </w:style>
  <w:style w:type="character" w:customStyle="1" w:styleId="137">
    <w:name w:val="Figure Char"/>
    <w:basedOn w:val="49"/>
    <w:link w:val="135"/>
    <w:qFormat/>
    <w:uiPriority w:val="0"/>
    <w:rPr>
      <w:rFonts w:ascii="Times New Roman" w:hAnsi="Times New Roman"/>
      <w:lang w:eastAsia="en-US"/>
    </w:rPr>
  </w:style>
  <w:style w:type="paragraph" w:customStyle="1" w:styleId="138">
    <w:name w:val="Observation"/>
    <w:basedOn w:val="128"/>
    <w:link w:val="140"/>
    <w:qFormat/>
    <w:uiPriority w:val="0"/>
    <w:pPr>
      <w:numPr>
        <w:ilvl w:val="0"/>
        <w:numId w:val="8"/>
      </w:numPr>
    </w:pPr>
  </w:style>
  <w:style w:type="character" w:customStyle="1" w:styleId="139">
    <w:name w:val="Table Char"/>
    <w:basedOn w:val="137"/>
    <w:link w:val="136"/>
    <w:qFormat/>
    <w:uiPriority w:val="0"/>
    <w:rPr>
      <w:rFonts w:ascii="Times New Roman" w:hAnsi="Times New Roman"/>
      <w:lang w:eastAsia="en-US"/>
    </w:rPr>
  </w:style>
  <w:style w:type="character" w:customStyle="1" w:styleId="140">
    <w:name w:val="Observation Char"/>
    <w:basedOn w:val="129"/>
    <w:link w:val="138"/>
    <w:qFormat/>
    <w:uiPriority w:val="0"/>
    <w:rPr>
      <w:rFonts w:ascii="Times New Roman" w:hAnsi="Times New Roman" w:eastAsia="MS Mincho" w:cs="Times New Roman"/>
      <w:lang w:eastAsia="ja-JP"/>
    </w:rPr>
  </w:style>
  <w:style w:type="table" w:customStyle="1" w:styleId="141">
    <w:name w:val="Table Grid1"/>
    <w:basedOn w:val="55"/>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2">
    <w:name w:val="Table Normal1"/>
    <w:basedOn w:val="55"/>
    <w:semiHidden/>
    <w:qFormat/>
    <w:uiPriority w:val="0"/>
    <w:rPr>
      <w:rFonts w:eastAsia="CG Times (WN)"/>
    </w:rPr>
    <w:tblPr>
      <w:tblLayout w:type="fixed"/>
      <w:tblCellMar>
        <w:top w:w="0" w:type="dxa"/>
        <w:left w:w="108" w:type="dxa"/>
        <w:bottom w:w="0" w:type="dxa"/>
        <w:right w:w="108" w:type="dxa"/>
      </w:tblCellMar>
    </w:tblPr>
  </w:style>
  <w:style w:type="character" w:customStyle="1" w:styleId="143">
    <w:name w:val="页眉 Char"/>
    <w:link w:val="38"/>
    <w:qFormat/>
    <w:uiPriority w:val="0"/>
    <w:rPr>
      <w:rFonts w:ascii="Arial" w:hAnsi="Arial" w:cs="Times New Roman"/>
      <w:b/>
      <w:sz w:val="18"/>
      <w:lang w:eastAsia="en-US"/>
    </w:rPr>
  </w:style>
  <w:style w:type="character" w:customStyle="1" w:styleId="144">
    <w:name w:val="Caption Char3"/>
    <w:qFormat/>
    <w:locked/>
    <w:uiPriority w:val="0"/>
    <w:rPr>
      <w:rFonts w:ascii="Times New Roman" w:hAnsi="Times New Roman"/>
      <w:b/>
      <w:bCs/>
      <w:sz w:val="24"/>
      <w:szCs w:val="24"/>
      <w:lang w:eastAsia="ko-KR"/>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945D4B-F555-412A-9E35-8FABB11E8A4B}">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5</Pages>
  <Words>1779</Words>
  <Characters>10142</Characters>
  <Lines>84</Lines>
  <Paragraphs>23</Paragraphs>
  <TotalTime>0</TotalTime>
  <ScaleCrop>false</ScaleCrop>
  <LinksUpToDate>false</LinksUpToDate>
  <CharactersWithSpaces>11898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2019-01-11T19:46:00Z</dcterms:created>
  <dc:creator>ZTE Corporation</dc:creator>
  <cp:lastModifiedBy>HXH</cp:lastModifiedBy>
  <cp:lastPrinted>2018-04-07T03:05:00Z</cp:lastPrinted>
  <dcterms:modified xsi:type="dcterms:W3CDTF">2019-01-12T02:13:06Z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